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D3" w:rsidRPr="00D85B98" w:rsidRDefault="004611D3" w:rsidP="00D85B98">
      <w:pPr>
        <w:autoSpaceDE w:val="0"/>
        <w:autoSpaceDN w:val="0"/>
        <w:adjustRightInd w:val="0"/>
        <w:ind w:left="0" w:firstLine="567"/>
        <w:jc w:val="left"/>
        <w:rPr>
          <w:rFonts w:ascii="Arial" w:hAnsi="Arial" w:cs="Arial"/>
          <w:sz w:val="20"/>
          <w:szCs w:val="20"/>
          <w:lang w:eastAsia="ru-RU"/>
        </w:rPr>
      </w:pPr>
      <w:r w:rsidRPr="00D85B98">
        <w:rPr>
          <w:rFonts w:ascii="Arial" w:hAnsi="Arial" w:cs="Arial"/>
          <w:b/>
          <w:bCs/>
          <w:sz w:val="20"/>
          <w:szCs w:val="20"/>
          <w:lang w:eastAsia="ru-RU"/>
        </w:rPr>
        <w:t>Письмо ФТС России № 01-11/50898 от 15 августа 2018 года</w:t>
      </w:r>
    </w:p>
    <w:p w:rsidR="004611D3" w:rsidRPr="00D85B98" w:rsidRDefault="004611D3" w:rsidP="00D85B98">
      <w:pPr>
        <w:autoSpaceDE w:val="0"/>
        <w:autoSpaceDN w:val="0"/>
        <w:adjustRightInd w:val="0"/>
        <w:ind w:left="0" w:firstLine="567"/>
        <w:jc w:val="left"/>
        <w:rPr>
          <w:rFonts w:ascii="Arial" w:hAnsi="Arial" w:cs="Arial"/>
          <w:sz w:val="20"/>
          <w:szCs w:val="20"/>
          <w:lang w:eastAsia="ru-RU"/>
        </w:rPr>
      </w:pPr>
      <w:r w:rsidRPr="00D85B98">
        <w:rPr>
          <w:rFonts w:ascii="Arial" w:hAnsi="Arial" w:cs="Arial"/>
          <w:b/>
          <w:bCs/>
          <w:sz w:val="20"/>
          <w:szCs w:val="20"/>
          <w:lang w:eastAsia="ru-RU"/>
        </w:rPr>
        <w:t>О возбуждении дел об административных правонарушениях в связи с несоблюдением мер технического регулирования</w:t>
      </w:r>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sz w:val="20"/>
          <w:szCs w:val="20"/>
          <w:lang w:eastAsia="ru-RU"/>
        </w:rPr>
        <w:t>В целях обеспечения единообразной правоприменительной практики возбуждения дел об административных правонарушениях (далее - АП) в связи с представлением при совершении таможенных операций недействительных документов, подтверждающих соблюдение мер технического регулирования, а также отсутствием на ввозимых товарах обозначения единым знаком обращения продукции на рынке государств - членов Евразийского экономического союза (далее - знак ЕАС) предлагаем руководствоваться следующим.</w:t>
      </w:r>
      <w:proofErr w:type="gramEnd"/>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Запреты и ограничения исходя из </w:t>
      </w:r>
      <w:r>
        <w:rPr>
          <w:rFonts w:ascii="Arial" w:hAnsi="Arial" w:cs="Arial"/>
          <w:color w:val="008000"/>
          <w:sz w:val="20"/>
          <w:szCs w:val="20"/>
          <w:u w:val="single"/>
          <w:lang w:eastAsia="ru-RU"/>
        </w:rPr>
        <w:t>подпункта 10 пункта 1 статьи 2</w:t>
      </w:r>
      <w:r>
        <w:rPr>
          <w:rFonts w:ascii="Arial" w:hAnsi="Arial" w:cs="Arial"/>
          <w:sz w:val="20"/>
          <w:szCs w:val="20"/>
          <w:lang w:eastAsia="ru-RU"/>
        </w:rPr>
        <w:t xml:space="preserve"> Таможенного кодекса Евразийского экономического союза (далее - ТК Е</w:t>
      </w:r>
      <w:proofErr w:type="gramStart"/>
      <w:r>
        <w:rPr>
          <w:rFonts w:ascii="Arial" w:hAnsi="Arial" w:cs="Arial"/>
          <w:sz w:val="20"/>
          <w:szCs w:val="20"/>
          <w:lang w:eastAsia="ru-RU"/>
        </w:rPr>
        <w:t>A</w:t>
      </w:r>
      <w:proofErr w:type="gramEnd"/>
      <w:r>
        <w:rPr>
          <w:rFonts w:ascii="Arial" w:hAnsi="Arial" w:cs="Arial"/>
          <w:sz w:val="20"/>
          <w:szCs w:val="20"/>
          <w:lang w:eastAsia="ru-RU"/>
        </w:rPr>
        <w:t>ЭС) включают в себя в том числе меры технического регулирования, применяемые в отношении товаров, перемещаемых через таможенную границу Евразийского экономическою союза (далее - ЕАЭС).</w:t>
      </w:r>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color w:val="008000"/>
          <w:sz w:val="20"/>
          <w:szCs w:val="20"/>
          <w:u w:val="single"/>
          <w:lang w:eastAsia="ru-RU"/>
        </w:rPr>
        <w:t>Статьей 51</w:t>
      </w:r>
      <w:r>
        <w:rPr>
          <w:rFonts w:ascii="Arial" w:hAnsi="Arial" w:cs="Arial"/>
          <w:sz w:val="20"/>
          <w:szCs w:val="20"/>
          <w:lang w:eastAsia="ru-RU"/>
        </w:rPr>
        <w:t xml:space="preserve"> Договора о ЕАЭС установлено, что техническое регулирование в рамках ЕАЭС включает в себя установление единых обязательных требований в технических регламентах ЕАЭС или национальных обязательных требований в законодательстве государств-членов к продукции, включенной в единый перечень продукции, в отношении которой устанавливаются обязательные требования в рамках ЕАЭС, а также применение и исполнение технических регламентов в государствах-членах без изъятий.</w:t>
      </w:r>
      <w:proofErr w:type="gramEnd"/>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Соблюдение мер технического реагирования в соответствии с </w:t>
      </w:r>
      <w:r>
        <w:rPr>
          <w:rFonts w:ascii="Arial" w:hAnsi="Arial" w:cs="Arial"/>
          <w:color w:val="008000"/>
          <w:sz w:val="20"/>
          <w:szCs w:val="20"/>
          <w:u w:val="single"/>
          <w:lang w:eastAsia="ru-RU"/>
        </w:rPr>
        <w:t xml:space="preserve">пунктом </w:t>
      </w:r>
      <w:r>
        <w:rPr>
          <w:rFonts w:ascii="Arial" w:hAnsi="Arial" w:cs="Arial"/>
          <w:i/>
          <w:iCs/>
          <w:color w:val="008000"/>
          <w:sz w:val="20"/>
          <w:szCs w:val="20"/>
          <w:u w:val="single"/>
          <w:lang w:eastAsia="ru-RU"/>
        </w:rPr>
        <w:t xml:space="preserve">2 </w:t>
      </w:r>
      <w:r>
        <w:rPr>
          <w:rFonts w:ascii="Arial" w:hAnsi="Arial" w:cs="Arial"/>
          <w:color w:val="008000"/>
          <w:sz w:val="20"/>
          <w:szCs w:val="20"/>
          <w:u w:val="single"/>
          <w:lang w:eastAsia="ru-RU"/>
        </w:rPr>
        <w:t>статьи 7</w:t>
      </w:r>
      <w:r>
        <w:rPr>
          <w:rFonts w:ascii="Arial" w:hAnsi="Arial" w:cs="Arial"/>
          <w:sz w:val="20"/>
          <w:szCs w:val="20"/>
          <w:lang w:eastAsia="ru-RU"/>
        </w:rPr>
        <w:t xml:space="preserve"> ТК ЕАЭС подтверждается в случаях и порядке, определенных Е</w:t>
      </w:r>
      <w:r w:rsidR="00D85B98">
        <w:rPr>
          <w:rFonts w:ascii="Arial" w:hAnsi="Arial" w:cs="Arial"/>
          <w:sz w:val="20"/>
          <w:szCs w:val="20"/>
          <w:lang w:eastAsia="ru-RU"/>
        </w:rPr>
        <w:t>ЭК</w:t>
      </w:r>
      <w:r>
        <w:rPr>
          <w:rFonts w:ascii="Arial" w:hAnsi="Arial" w:cs="Arial"/>
          <w:sz w:val="20"/>
          <w:szCs w:val="20"/>
          <w:lang w:eastAsia="ru-RU"/>
        </w:rPr>
        <w:t xml:space="preserve"> или законодательством государств-членов в соответствии с Договором о ЕАЭС, путем представления соответствующих документов и (или) сведений об этих документах.</w:t>
      </w:r>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sz w:val="20"/>
          <w:szCs w:val="20"/>
          <w:lang w:eastAsia="ru-RU"/>
        </w:rPr>
        <w:t xml:space="preserve">В зависимости от категорий товаров в соответствии с </w:t>
      </w:r>
      <w:r>
        <w:rPr>
          <w:rFonts w:ascii="Arial" w:hAnsi="Arial" w:cs="Arial"/>
          <w:color w:val="008000"/>
          <w:sz w:val="20"/>
          <w:szCs w:val="20"/>
          <w:u w:val="single"/>
          <w:lang w:eastAsia="ru-RU"/>
        </w:rPr>
        <w:t>пунктом 2</w:t>
      </w:r>
      <w:r>
        <w:rPr>
          <w:rFonts w:ascii="Arial" w:hAnsi="Arial" w:cs="Arial"/>
          <w:sz w:val="20"/>
          <w:szCs w:val="20"/>
          <w:lang w:eastAsia="ru-RU"/>
        </w:rPr>
        <w:t xml:space="preserve"> Положения о порядке ввоза на таможенную территорию </w:t>
      </w:r>
      <w:r w:rsidR="00D85B98">
        <w:rPr>
          <w:rFonts w:ascii="Arial" w:hAnsi="Arial" w:cs="Arial"/>
          <w:sz w:val="20"/>
          <w:szCs w:val="20"/>
          <w:lang w:eastAsia="ru-RU"/>
        </w:rPr>
        <w:t>ТС</w:t>
      </w:r>
      <w:r>
        <w:rPr>
          <w:rFonts w:ascii="Arial" w:hAnsi="Arial" w:cs="Arial"/>
          <w:sz w:val="20"/>
          <w:szCs w:val="20"/>
          <w:lang w:eastAsia="ru-RU"/>
        </w:rPr>
        <w:t xml:space="preserve"> продукции (товаров), в отношении которой устанавливаются обязательные требования в рамках </w:t>
      </w:r>
      <w:r w:rsidR="00D85B98">
        <w:rPr>
          <w:rFonts w:ascii="Arial" w:hAnsi="Arial" w:cs="Arial"/>
          <w:sz w:val="20"/>
          <w:szCs w:val="20"/>
          <w:lang w:eastAsia="ru-RU"/>
        </w:rPr>
        <w:t>ТС</w:t>
      </w:r>
      <w:r>
        <w:rPr>
          <w:rFonts w:ascii="Arial" w:hAnsi="Arial" w:cs="Arial"/>
          <w:sz w:val="20"/>
          <w:szCs w:val="20"/>
          <w:lang w:eastAsia="ru-RU"/>
        </w:rPr>
        <w:t>, утвержденного Решением Коллегии Е</w:t>
      </w:r>
      <w:r w:rsidR="00D85B98">
        <w:rPr>
          <w:rFonts w:ascii="Arial" w:hAnsi="Arial" w:cs="Arial"/>
          <w:sz w:val="20"/>
          <w:szCs w:val="20"/>
          <w:lang w:eastAsia="ru-RU"/>
        </w:rPr>
        <w:t>ЭК</w:t>
      </w:r>
      <w:r>
        <w:rPr>
          <w:rFonts w:ascii="Arial" w:hAnsi="Arial" w:cs="Arial"/>
          <w:sz w:val="20"/>
          <w:szCs w:val="20"/>
          <w:lang w:eastAsia="ru-RU"/>
        </w:rPr>
        <w:t xml:space="preserve"> от 25 декабря 2012 г. № 294, различными техническими регламентами ЕАЭС установлены требования о представлении в целях соблюдения мер технического регулирования документов об оценке соответствия требованиям технических регламентов</w:t>
      </w:r>
      <w:proofErr w:type="gramEnd"/>
      <w:r>
        <w:rPr>
          <w:rFonts w:ascii="Arial" w:hAnsi="Arial" w:cs="Arial"/>
          <w:sz w:val="20"/>
          <w:szCs w:val="20"/>
          <w:lang w:eastAsia="ru-RU"/>
        </w:rPr>
        <w:t xml:space="preserve"> </w:t>
      </w:r>
      <w:proofErr w:type="gramStart"/>
      <w:r>
        <w:rPr>
          <w:rFonts w:ascii="Arial" w:hAnsi="Arial" w:cs="Arial"/>
          <w:sz w:val="20"/>
          <w:szCs w:val="20"/>
          <w:lang w:eastAsia="ru-RU"/>
        </w:rPr>
        <w:t xml:space="preserve">ЕАЭС (сертификатов соответствия, деклараций о соответствии и иных документов, предусмотренных законодательством </w:t>
      </w:r>
      <w:r w:rsidR="00D85B98">
        <w:rPr>
          <w:rFonts w:ascii="Arial" w:hAnsi="Arial" w:cs="Arial"/>
          <w:sz w:val="20"/>
          <w:szCs w:val="20"/>
          <w:lang w:eastAsia="ru-RU"/>
        </w:rPr>
        <w:t>РФ</w:t>
      </w:r>
      <w:r>
        <w:rPr>
          <w:rFonts w:ascii="Arial" w:hAnsi="Arial" w:cs="Arial"/>
          <w:sz w:val="20"/>
          <w:szCs w:val="20"/>
          <w:lang w:eastAsia="ru-RU"/>
        </w:rPr>
        <w:t xml:space="preserve"> (далее - документы о соответствии) при совершении таможенных операций в отношении ввозимых товаров.</w:t>
      </w:r>
      <w:proofErr w:type="gramEnd"/>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sz w:val="20"/>
          <w:szCs w:val="20"/>
          <w:lang w:eastAsia="ru-RU"/>
        </w:rPr>
        <w:t>Эти</w:t>
      </w:r>
      <w:r>
        <w:rPr>
          <w:rFonts w:ascii="Arial" w:hAnsi="Arial" w:cs="Arial"/>
          <w:i/>
          <w:iCs/>
          <w:sz w:val="20"/>
          <w:szCs w:val="20"/>
          <w:lang w:eastAsia="ru-RU"/>
        </w:rPr>
        <w:t xml:space="preserve"> </w:t>
      </w:r>
      <w:r>
        <w:rPr>
          <w:rFonts w:ascii="Arial" w:hAnsi="Arial" w:cs="Arial"/>
          <w:sz w:val="20"/>
          <w:szCs w:val="20"/>
          <w:lang w:eastAsia="ru-RU"/>
        </w:rPr>
        <w:t xml:space="preserve">требования корреспондируются с </w:t>
      </w:r>
      <w:r>
        <w:rPr>
          <w:rFonts w:ascii="Arial" w:hAnsi="Arial" w:cs="Arial"/>
          <w:color w:val="008000"/>
          <w:sz w:val="20"/>
          <w:szCs w:val="20"/>
          <w:u w:val="single"/>
          <w:lang w:eastAsia="ru-RU"/>
        </w:rPr>
        <w:t>подпунктом 7 пункта 1 статьи 106,</w:t>
      </w:r>
      <w:r>
        <w:rPr>
          <w:rFonts w:ascii="Arial" w:hAnsi="Arial" w:cs="Arial"/>
          <w:sz w:val="20"/>
          <w:szCs w:val="20"/>
          <w:lang w:eastAsia="ru-RU"/>
        </w:rPr>
        <w:t xml:space="preserve"> </w:t>
      </w:r>
      <w:r>
        <w:rPr>
          <w:rFonts w:ascii="Arial" w:hAnsi="Arial" w:cs="Arial"/>
          <w:color w:val="008000"/>
          <w:sz w:val="20"/>
          <w:szCs w:val="20"/>
          <w:u w:val="single"/>
          <w:lang w:eastAsia="ru-RU"/>
        </w:rPr>
        <w:t>подпунктом 4 пункта 1 статьи 108,</w:t>
      </w:r>
      <w:r>
        <w:rPr>
          <w:rFonts w:ascii="Arial" w:hAnsi="Arial" w:cs="Arial"/>
          <w:sz w:val="20"/>
          <w:szCs w:val="20"/>
          <w:lang w:eastAsia="ru-RU"/>
        </w:rPr>
        <w:t xml:space="preserve"> </w:t>
      </w:r>
      <w:r>
        <w:rPr>
          <w:rFonts w:ascii="Arial" w:hAnsi="Arial" w:cs="Arial"/>
          <w:color w:val="008000"/>
          <w:sz w:val="20"/>
          <w:szCs w:val="20"/>
          <w:u w:val="single"/>
          <w:lang w:eastAsia="ru-RU"/>
        </w:rPr>
        <w:t>подпунктом 1 пункта 1 статьи 118,</w:t>
      </w:r>
      <w:r>
        <w:rPr>
          <w:rFonts w:ascii="Arial" w:hAnsi="Arial" w:cs="Arial"/>
          <w:sz w:val="20"/>
          <w:szCs w:val="20"/>
          <w:lang w:eastAsia="ru-RU"/>
        </w:rPr>
        <w:t xml:space="preserve"> иными положениями ТК ЕАЭС, согласно которым при таможенном декларировании товаров в зависимости от выбранной таможенной процедуры в декларации на товары подлежат указанию сведения о документах, подтверждающих соблюдение мер технического регулирования, и решение о выпуске принимается в случае подтверждения</w:t>
      </w:r>
      <w:proofErr w:type="gramEnd"/>
      <w:r>
        <w:rPr>
          <w:rFonts w:ascii="Arial" w:hAnsi="Arial" w:cs="Arial"/>
          <w:sz w:val="20"/>
          <w:szCs w:val="20"/>
          <w:lang w:eastAsia="ru-RU"/>
        </w:rPr>
        <w:t xml:space="preserve"> соблюдения запретов и ограничений, к которым относятся меры технического регулирования.</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В связи с этим к полномочиям таможенных органов относится проверка в рамках таможенного контроля документов и сведений, указанных в декларации на товары либо заявлении о выпуске товаров до подачи декларации на товары в целях подтверждения соблюдения запретов и ограничений, в том числе мер технического регулирования.</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color w:val="008000"/>
          <w:sz w:val="20"/>
          <w:szCs w:val="20"/>
          <w:u w:val="single"/>
          <w:lang w:eastAsia="ru-RU"/>
        </w:rPr>
        <w:t>Частью 3 статьи 16.2</w:t>
      </w:r>
      <w:r>
        <w:rPr>
          <w:rFonts w:ascii="Arial" w:hAnsi="Arial" w:cs="Arial"/>
          <w:sz w:val="20"/>
          <w:szCs w:val="20"/>
          <w:lang w:eastAsia="ru-RU"/>
        </w:rPr>
        <w:t xml:space="preserve"> Кодекса </w:t>
      </w:r>
      <w:r w:rsidR="00D85B98">
        <w:rPr>
          <w:rFonts w:ascii="Arial" w:hAnsi="Arial" w:cs="Arial"/>
          <w:sz w:val="20"/>
          <w:szCs w:val="20"/>
          <w:lang w:eastAsia="ru-RU"/>
        </w:rPr>
        <w:t>РФ</w:t>
      </w:r>
      <w:r>
        <w:rPr>
          <w:rFonts w:ascii="Arial" w:hAnsi="Arial" w:cs="Arial"/>
          <w:sz w:val="20"/>
          <w:szCs w:val="20"/>
          <w:lang w:eastAsia="ru-RU"/>
        </w:rPr>
        <w:t xml:space="preserve"> об административных правонарушениях (далее - КоАП РФ) установлена ответственность за представление недействительных документов, если такие документы послужили или могли послужить основанием для несоблюдения установленных запретов и ограничений, в том числе мер технического регулирования. Кроме того, за представление декларантом таможенному представителю недействительных документов, повлекших несоблюдение запретов, ограничений, установлена административная ответственность </w:t>
      </w:r>
      <w:r>
        <w:rPr>
          <w:rFonts w:ascii="Arial" w:hAnsi="Arial" w:cs="Arial"/>
          <w:color w:val="008000"/>
          <w:sz w:val="20"/>
          <w:szCs w:val="20"/>
          <w:u w:val="single"/>
          <w:lang w:eastAsia="ru-RU"/>
        </w:rPr>
        <w:t>статьей 16.7</w:t>
      </w:r>
      <w:r>
        <w:rPr>
          <w:rFonts w:ascii="Arial" w:hAnsi="Arial" w:cs="Arial"/>
          <w:sz w:val="20"/>
          <w:szCs w:val="20"/>
          <w:lang w:eastAsia="ru-RU"/>
        </w:rPr>
        <w:t xml:space="preserve"> КоАП РФ, а при выпуске товаров до подачи декларации на товары - </w:t>
      </w:r>
      <w:r>
        <w:rPr>
          <w:rFonts w:ascii="Arial" w:hAnsi="Arial" w:cs="Arial"/>
          <w:color w:val="008000"/>
          <w:sz w:val="20"/>
          <w:szCs w:val="20"/>
          <w:u w:val="single"/>
          <w:lang w:eastAsia="ru-RU"/>
        </w:rPr>
        <w:t>статьей 16.17</w:t>
      </w:r>
      <w:r>
        <w:rPr>
          <w:rFonts w:ascii="Arial" w:hAnsi="Arial" w:cs="Arial"/>
          <w:sz w:val="20"/>
          <w:szCs w:val="20"/>
          <w:lang w:eastAsia="ru-RU"/>
        </w:rPr>
        <w:t xml:space="preserve"> КоАП РФ.</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При этом под недействительными документами согласно </w:t>
      </w:r>
      <w:r>
        <w:rPr>
          <w:rFonts w:ascii="Arial" w:hAnsi="Arial" w:cs="Arial"/>
          <w:color w:val="008000"/>
          <w:sz w:val="20"/>
          <w:szCs w:val="20"/>
          <w:u w:val="single"/>
          <w:lang w:eastAsia="ru-RU"/>
        </w:rPr>
        <w:t>примечанию 2 к статье 16.1</w:t>
      </w:r>
      <w:r>
        <w:rPr>
          <w:rFonts w:ascii="Arial" w:hAnsi="Arial" w:cs="Arial"/>
          <w:sz w:val="20"/>
          <w:szCs w:val="20"/>
          <w:lang w:eastAsia="ru-RU"/>
        </w:rPr>
        <w:t xml:space="preserve"> КоАП РФ понимаются поддельные документы, а также документы, полученные незаконным путем, содержащие недостоверные сведения, относящиеся к другим товарам, и иные документы, не имеющие юридической силы.</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При решении вопроса о возбуждении дел об АП по данным статьям КоАП РФ необходимо принимать во внимание следующие обстоятельства.</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1. Проверка достоверности сведений, указанных в сертификатах соответствия и декларациях о соответствии, проводится путем их сопоставления со сведениями, содержащимися в едином реестре выданных сертификатов соответствия и зарегистрированных деклараций о соответствии (далее - Единый реестр).</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Регистрация сертификата соответствия, декларации о соответствии в Едином реестре является необходимым элементом подтверждения соответствия продукции требованиям технических регламентов ЕАЭС. </w:t>
      </w:r>
      <w:proofErr w:type="gramStart"/>
      <w:r>
        <w:rPr>
          <w:rFonts w:ascii="Arial" w:hAnsi="Arial" w:cs="Arial"/>
          <w:sz w:val="20"/>
          <w:szCs w:val="20"/>
          <w:lang w:eastAsia="ru-RU"/>
        </w:rPr>
        <w:t xml:space="preserve">Такой вывод следует из анализа положений </w:t>
      </w:r>
      <w:r>
        <w:rPr>
          <w:rFonts w:ascii="Arial" w:hAnsi="Arial" w:cs="Arial"/>
          <w:color w:val="008000"/>
          <w:sz w:val="20"/>
          <w:szCs w:val="20"/>
          <w:u w:val="single"/>
          <w:lang w:eastAsia="ru-RU"/>
        </w:rPr>
        <w:t>пункта 22.1.8</w:t>
      </w:r>
      <w:r>
        <w:rPr>
          <w:rFonts w:ascii="Arial" w:hAnsi="Arial" w:cs="Arial"/>
          <w:sz w:val="20"/>
          <w:szCs w:val="20"/>
          <w:lang w:eastAsia="ru-RU"/>
        </w:rPr>
        <w:t xml:space="preserve"> Положения о порядке применения типовых схем оценки (подтверждения) соответствия в технических регламентах </w:t>
      </w:r>
      <w:r w:rsidR="00D85B98">
        <w:rPr>
          <w:rFonts w:ascii="Arial" w:hAnsi="Arial" w:cs="Arial"/>
          <w:sz w:val="20"/>
          <w:szCs w:val="20"/>
          <w:lang w:eastAsia="ru-RU"/>
        </w:rPr>
        <w:t>ТС</w:t>
      </w:r>
      <w:r>
        <w:rPr>
          <w:rFonts w:ascii="Arial" w:hAnsi="Arial" w:cs="Arial"/>
          <w:sz w:val="20"/>
          <w:szCs w:val="20"/>
          <w:lang w:eastAsia="ru-RU"/>
        </w:rPr>
        <w:t xml:space="preserve"> (утверждено Решением Комиссии </w:t>
      </w:r>
      <w:r w:rsidR="00D85B98">
        <w:rPr>
          <w:rFonts w:ascii="Arial" w:hAnsi="Arial" w:cs="Arial"/>
          <w:sz w:val="20"/>
          <w:szCs w:val="20"/>
          <w:lang w:eastAsia="ru-RU"/>
        </w:rPr>
        <w:t>ТС</w:t>
      </w:r>
      <w:r>
        <w:rPr>
          <w:rFonts w:ascii="Arial" w:hAnsi="Arial" w:cs="Arial"/>
          <w:sz w:val="20"/>
          <w:szCs w:val="20"/>
          <w:lang w:eastAsia="ru-RU"/>
        </w:rPr>
        <w:t xml:space="preserve"> от 07.04.2011 № 621), </w:t>
      </w:r>
      <w:r>
        <w:rPr>
          <w:rFonts w:ascii="Arial" w:hAnsi="Arial" w:cs="Arial"/>
          <w:color w:val="008000"/>
          <w:sz w:val="20"/>
          <w:szCs w:val="20"/>
          <w:u w:val="single"/>
          <w:lang w:eastAsia="ru-RU"/>
        </w:rPr>
        <w:t>пункта 2</w:t>
      </w:r>
      <w:r>
        <w:rPr>
          <w:rFonts w:ascii="Arial" w:hAnsi="Arial" w:cs="Arial"/>
          <w:sz w:val="20"/>
          <w:szCs w:val="20"/>
          <w:lang w:eastAsia="ru-RU"/>
        </w:rPr>
        <w:t xml:space="preserve"> Порядка регистрации, приостановления, возобновления и прекращения действия деклараций о соответствии продукции требованиям технических регламентов Евразийского экономического союза (утвержден Решением Коллегии </w:t>
      </w:r>
      <w:r w:rsidR="00D85B98">
        <w:rPr>
          <w:rFonts w:ascii="Arial" w:hAnsi="Arial" w:cs="Arial"/>
          <w:sz w:val="20"/>
          <w:szCs w:val="20"/>
          <w:lang w:eastAsia="ru-RU"/>
        </w:rPr>
        <w:t>ЕЭК</w:t>
      </w:r>
      <w:r>
        <w:rPr>
          <w:rFonts w:ascii="Arial" w:hAnsi="Arial" w:cs="Arial"/>
          <w:sz w:val="20"/>
          <w:szCs w:val="20"/>
          <w:lang w:eastAsia="ru-RU"/>
        </w:rPr>
        <w:t xml:space="preserve"> от 20.03.2018 № 41), а также </w:t>
      </w:r>
      <w:r>
        <w:rPr>
          <w:rFonts w:ascii="Arial" w:hAnsi="Arial" w:cs="Arial"/>
          <w:color w:val="008000"/>
          <w:sz w:val="20"/>
          <w:szCs w:val="20"/>
          <w:u w:val="single"/>
          <w:lang w:eastAsia="ru-RU"/>
        </w:rPr>
        <w:t>Положения о порядке формирования</w:t>
      </w:r>
      <w:proofErr w:type="gramEnd"/>
      <w:r>
        <w:rPr>
          <w:rFonts w:ascii="Arial" w:hAnsi="Arial" w:cs="Arial"/>
          <w:color w:val="008000"/>
          <w:sz w:val="20"/>
          <w:szCs w:val="20"/>
          <w:u w:val="single"/>
          <w:lang w:eastAsia="ru-RU"/>
        </w:rPr>
        <w:t xml:space="preserve"> и ведения единого реестра выданных сертификатов соответствия и зарегистрированных деклараций о соответствии, оформленных по единой форме</w:t>
      </w:r>
      <w:r>
        <w:rPr>
          <w:rFonts w:ascii="Arial" w:hAnsi="Arial" w:cs="Arial"/>
          <w:sz w:val="20"/>
          <w:szCs w:val="20"/>
          <w:lang w:eastAsia="ru-RU"/>
        </w:rPr>
        <w:t xml:space="preserve"> (утверждено Решением Комиссии </w:t>
      </w:r>
      <w:r w:rsidR="00D85B98">
        <w:rPr>
          <w:rFonts w:ascii="Arial" w:hAnsi="Arial" w:cs="Arial"/>
          <w:sz w:val="20"/>
          <w:szCs w:val="20"/>
          <w:lang w:eastAsia="ru-RU"/>
        </w:rPr>
        <w:t>ТС</w:t>
      </w:r>
      <w:r>
        <w:rPr>
          <w:rFonts w:ascii="Arial" w:hAnsi="Arial" w:cs="Arial"/>
          <w:sz w:val="20"/>
          <w:szCs w:val="20"/>
          <w:lang w:eastAsia="ru-RU"/>
        </w:rPr>
        <w:t xml:space="preserve"> от 18.06.2010 № 319), </w:t>
      </w:r>
      <w:r>
        <w:rPr>
          <w:rFonts w:ascii="Arial" w:hAnsi="Arial" w:cs="Arial"/>
          <w:color w:val="008000"/>
          <w:sz w:val="20"/>
          <w:szCs w:val="20"/>
          <w:u w:val="single"/>
          <w:lang w:eastAsia="ru-RU"/>
        </w:rPr>
        <w:t>Правил оформления сертификата соответствия требованиям технического регламента Е</w:t>
      </w:r>
      <w:r w:rsidR="00D85B98">
        <w:rPr>
          <w:rFonts w:ascii="Arial" w:hAnsi="Arial" w:cs="Arial"/>
          <w:color w:val="008000"/>
          <w:sz w:val="20"/>
          <w:szCs w:val="20"/>
          <w:u w:val="single"/>
          <w:lang w:eastAsia="ru-RU"/>
        </w:rPr>
        <w:t>АЭС</w:t>
      </w:r>
      <w:bookmarkStart w:id="0" w:name="_GoBack"/>
      <w:bookmarkEnd w:id="0"/>
      <w:r>
        <w:rPr>
          <w:rFonts w:ascii="Arial" w:hAnsi="Arial" w:cs="Arial"/>
          <w:sz w:val="20"/>
          <w:szCs w:val="20"/>
          <w:lang w:eastAsia="ru-RU"/>
        </w:rPr>
        <w:t xml:space="preserve"> (утверждены Решением Коллегии </w:t>
      </w:r>
      <w:r w:rsidR="00D85B98">
        <w:rPr>
          <w:rFonts w:ascii="Arial" w:hAnsi="Arial" w:cs="Arial"/>
          <w:sz w:val="20"/>
          <w:szCs w:val="20"/>
          <w:lang w:eastAsia="ru-RU"/>
        </w:rPr>
        <w:t>ЕЭК</w:t>
      </w:r>
      <w:r>
        <w:rPr>
          <w:rFonts w:ascii="Arial" w:hAnsi="Arial" w:cs="Arial"/>
          <w:sz w:val="20"/>
          <w:szCs w:val="20"/>
          <w:lang w:eastAsia="ru-RU"/>
        </w:rPr>
        <w:t xml:space="preserve"> от 25.12.2012 № 293).</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В отсутствие такой регистрации сертификат соответствия, декларация о соответствии не могут быть приняты в качестве документов, подтверждающих соответствие продукции установленным требованиям, поскольку такие документы не имеют юридической силы. Аналогичный подход применим в случае отсутствия аккредитованной испытательной лаборатории, проводившей испытания (исследования) продукции, либо органа по сертификации, выдавшего сертификат соответствия, в Едином реестре органов по сертификации и испытательных лабораторий (центров). К этой же категории недействительных документов относятся документы о соответствии, в которых имеются подтвержденные соответствующими доказательствами подделки, подчистки, дописки.</w:t>
      </w:r>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sz w:val="20"/>
          <w:szCs w:val="20"/>
          <w:lang w:eastAsia="ru-RU"/>
        </w:rPr>
        <w:lastRenderedPageBreak/>
        <w:t xml:space="preserve">Таможенными органами в рамках таможенного контроля при проверке представленных документов о соответствии (сведений о них) могут быть выявлены признаки, свидетельствующие о нарушениях, допущенных при их выдаче (регистрации, принятии), такие как отсутствие надлежащей аккредитации у органов по сертификации и испытательных лабораторий, </w:t>
      </w:r>
      <w:proofErr w:type="spellStart"/>
      <w:r>
        <w:rPr>
          <w:rFonts w:ascii="Arial" w:hAnsi="Arial" w:cs="Arial"/>
          <w:sz w:val="20"/>
          <w:szCs w:val="20"/>
          <w:lang w:eastAsia="ru-RU"/>
        </w:rPr>
        <w:t>неподтверждение</w:t>
      </w:r>
      <w:proofErr w:type="spellEnd"/>
      <w:r>
        <w:rPr>
          <w:rFonts w:ascii="Arial" w:hAnsi="Arial" w:cs="Arial"/>
          <w:sz w:val="20"/>
          <w:szCs w:val="20"/>
          <w:lang w:eastAsia="ru-RU"/>
        </w:rPr>
        <w:t xml:space="preserve"> факта ввоза образцов продукции для проведения испытаний (исследований), несоответствие формы документа о соответствии утвержденному образцу и прочее.</w:t>
      </w:r>
      <w:proofErr w:type="gramEnd"/>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Эти обстоятельства могут быть положены в основу возбуждения дел об АП по указанным статьям </w:t>
      </w:r>
      <w:r>
        <w:rPr>
          <w:rFonts w:ascii="Arial" w:hAnsi="Arial" w:cs="Arial"/>
          <w:color w:val="008000"/>
          <w:sz w:val="20"/>
          <w:szCs w:val="20"/>
          <w:u w:val="single"/>
          <w:lang w:eastAsia="ru-RU"/>
        </w:rPr>
        <w:t>главы 16</w:t>
      </w:r>
      <w:r>
        <w:rPr>
          <w:rFonts w:ascii="Arial" w:hAnsi="Arial" w:cs="Arial"/>
          <w:sz w:val="20"/>
          <w:szCs w:val="20"/>
          <w:lang w:eastAsia="ru-RU"/>
        </w:rPr>
        <w:t xml:space="preserve"> КоАП РФ только в случае их отмены, прекращения, признания недействительными. </w:t>
      </w:r>
      <w:proofErr w:type="gramStart"/>
      <w:r>
        <w:rPr>
          <w:rFonts w:ascii="Arial" w:hAnsi="Arial" w:cs="Arial"/>
          <w:sz w:val="20"/>
          <w:szCs w:val="20"/>
          <w:lang w:eastAsia="ru-RU"/>
        </w:rPr>
        <w:t xml:space="preserve">Такие решения могут быть приняты судом либо соответствующим органом государственного контроля (надзора) за соблюдением требований технических регламентов (Федеральной службой по надзору в сфере защиты прав потребителей и благополучия человека, Министерством </w:t>
      </w:r>
      <w:r w:rsidR="00D85B98">
        <w:rPr>
          <w:rFonts w:ascii="Arial" w:hAnsi="Arial" w:cs="Arial"/>
          <w:sz w:val="20"/>
          <w:szCs w:val="20"/>
          <w:lang w:eastAsia="ru-RU"/>
        </w:rPr>
        <w:t>РФ</w:t>
      </w:r>
      <w:r>
        <w:rPr>
          <w:rFonts w:ascii="Arial" w:hAnsi="Arial" w:cs="Arial"/>
          <w:sz w:val="20"/>
          <w:szCs w:val="20"/>
          <w:lang w:eastAsia="ru-RU"/>
        </w:rPr>
        <w:t xml:space="preserve"> по делам гражданской обороны, чрезвычайным ситуациям и ликвидации последствий стихийных бедствий, Федеральной службой по надзору в сфере здравоохранения, Федеральным агентством по техническому регулированию и метрологии и т.д.), органом</w:t>
      </w:r>
      <w:proofErr w:type="gramEnd"/>
      <w:r>
        <w:rPr>
          <w:rFonts w:ascii="Arial" w:hAnsi="Arial" w:cs="Arial"/>
          <w:sz w:val="20"/>
          <w:szCs w:val="20"/>
          <w:lang w:eastAsia="ru-RU"/>
        </w:rPr>
        <w:t xml:space="preserve"> по сертификации, лицом, принявшим декларацию о соответствии.</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2. </w:t>
      </w:r>
      <w:proofErr w:type="gramStart"/>
      <w:r>
        <w:rPr>
          <w:rFonts w:ascii="Arial" w:hAnsi="Arial" w:cs="Arial"/>
          <w:sz w:val="20"/>
          <w:szCs w:val="20"/>
          <w:lang w:eastAsia="ru-RU"/>
        </w:rPr>
        <w:t>В случае представления таможенному органу документов, подтверждающих соблюдение мер технического регулирования, либо сообщения о них сведений и отсутствия на товаре, его упаковке, в товаротранспортных или товаросопроводительных документах маркировки, обязательное наличие которой предусмотрено правом ЕАЭС (техническими регламентами ЕАЭС (Т</w:t>
      </w:r>
      <w:r w:rsidR="00D85B98">
        <w:rPr>
          <w:rFonts w:ascii="Arial" w:hAnsi="Arial" w:cs="Arial"/>
          <w:sz w:val="20"/>
          <w:szCs w:val="20"/>
          <w:lang w:eastAsia="ru-RU"/>
        </w:rPr>
        <w:t>С</w:t>
      </w:r>
      <w:r>
        <w:rPr>
          <w:rFonts w:ascii="Arial" w:hAnsi="Arial" w:cs="Arial"/>
          <w:sz w:val="20"/>
          <w:szCs w:val="20"/>
          <w:lang w:eastAsia="ru-RU"/>
        </w:rPr>
        <w:t xml:space="preserve">), законодательством </w:t>
      </w:r>
      <w:r w:rsidR="00D85B98">
        <w:rPr>
          <w:rFonts w:ascii="Arial" w:hAnsi="Arial" w:cs="Arial"/>
          <w:sz w:val="20"/>
          <w:szCs w:val="20"/>
          <w:lang w:eastAsia="ru-RU"/>
        </w:rPr>
        <w:t>РФ</w:t>
      </w:r>
      <w:r>
        <w:rPr>
          <w:rFonts w:ascii="Arial" w:hAnsi="Arial" w:cs="Arial"/>
          <w:sz w:val="20"/>
          <w:szCs w:val="20"/>
          <w:lang w:eastAsia="ru-RU"/>
        </w:rPr>
        <w:t>, документ об оценке соответствия может быть признан недействительным для целей совершения таможенных операций, если предъявленный таможенному органу товар невозможно идентифицировать</w:t>
      </w:r>
      <w:proofErr w:type="gramEnd"/>
      <w:r>
        <w:rPr>
          <w:rFonts w:ascii="Arial" w:hAnsi="Arial" w:cs="Arial"/>
          <w:sz w:val="20"/>
          <w:szCs w:val="20"/>
          <w:lang w:eastAsia="ru-RU"/>
        </w:rPr>
        <w:t xml:space="preserve"> с товаром, указанным в документе о соответствии, т.е. как относящемся к другим товарам.</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При этом необходимо учитывать, что для цели квалификации совершенного правонарушения по укатанным статьям КоАП РФ недостаточно одного лишь несоответствия между маркировкой на товаре и сведениями, указанными в документе об оценке соответствия (в том числе отсутствие перевода маркировки на русский язык, наличие опечаток, ошибок, несоответствие формы маркировки). Помимо маркировки, необходимо исследовать товаросопроводительные документы, техническую документацию и другие документы, относящиеся к ввезенному товару, в совокупности. Если результаты таможенного досмотра подтверждают идентичность сведений о товаре, указанных в декларации на товары, товаротранспортных, товаросопроводительных документах и иных документах, указанных в </w:t>
      </w:r>
      <w:r>
        <w:rPr>
          <w:rFonts w:ascii="Arial" w:hAnsi="Arial" w:cs="Arial"/>
          <w:color w:val="008000"/>
          <w:sz w:val="20"/>
          <w:szCs w:val="20"/>
          <w:u w:val="single"/>
          <w:lang w:eastAsia="ru-RU"/>
        </w:rPr>
        <w:t>статье 108</w:t>
      </w:r>
      <w:r>
        <w:rPr>
          <w:rFonts w:ascii="Arial" w:hAnsi="Arial" w:cs="Arial"/>
          <w:sz w:val="20"/>
          <w:szCs w:val="20"/>
          <w:lang w:eastAsia="ru-RU"/>
        </w:rPr>
        <w:t xml:space="preserve"> ТК ЕАЭС, документах, полученных в рамках таможенного контроля, документу об оценке соответствия требованиям технических регламентов ЕАЭС, последний недействительным (относящимся к другим товарам) не может быть признан.</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3. </w:t>
      </w:r>
      <w:proofErr w:type="gramStart"/>
      <w:r>
        <w:rPr>
          <w:rFonts w:ascii="Arial" w:hAnsi="Arial" w:cs="Arial"/>
          <w:sz w:val="20"/>
          <w:szCs w:val="20"/>
          <w:lang w:eastAsia="ru-RU"/>
        </w:rPr>
        <w:t xml:space="preserve">Отсутствие только маркировки знаком ЕАС на перемещаемых через таможенную границу ЕАЭС товарах, включенных в Перечень продукции, в отношении которой подача таможенной декларации сопровождается представлением документа об оценке соответствия требованиям технических регламентов ЕАЭС, само по себе не образует административное правонарушение, ответственность за которое предусмотрена </w:t>
      </w:r>
      <w:r>
        <w:rPr>
          <w:rFonts w:ascii="Arial" w:hAnsi="Arial" w:cs="Arial"/>
          <w:color w:val="008000"/>
          <w:sz w:val="20"/>
          <w:szCs w:val="20"/>
          <w:u w:val="single"/>
          <w:lang w:eastAsia="ru-RU"/>
        </w:rPr>
        <w:t>частью 3 статьи 16.2,</w:t>
      </w:r>
      <w:r>
        <w:rPr>
          <w:rFonts w:ascii="Arial" w:hAnsi="Arial" w:cs="Arial"/>
          <w:sz w:val="20"/>
          <w:szCs w:val="20"/>
          <w:lang w:eastAsia="ru-RU"/>
        </w:rPr>
        <w:t xml:space="preserve"> </w:t>
      </w:r>
      <w:r>
        <w:rPr>
          <w:rFonts w:ascii="Arial" w:hAnsi="Arial" w:cs="Arial"/>
          <w:color w:val="008000"/>
          <w:sz w:val="20"/>
          <w:szCs w:val="20"/>
          <w:u w:val="single"/>
          <w:lang w:eastAsia="ru-RU"/>
        </w:rPr>
        <w:t>статьями 16.7,</w:t>
      </w:r>
      <w:r>
        <w:rPr>
          <w:rFonts w:ascii="Arial" w:hAnsi="Arial" w:cs="Arial"/>
          <w:sz w:val="20"/>
          <w:szCs w:val="20"/>
          <w:lang w:eastAsia="ru-RU"/>
        </w:rPr>
        <w:t xml:space="preserve"> </w:t>
      </w:r>
      <w:r>
        <w:rPr>
          <w:rFonts w:ascii="Arial" w:hAnsi="Arial" w:cs="Arial"/>
          <w:color w:val="008000"/>
          <w:sz w:val="20"/>
          <w:szCs w:val="20"/>
          <w:u w:val="single"/>
          <w:lang w:eastAsia="ru-RU"/>
        </w:rPr>
        <w:t>16.17 КоАП РФ.</w:t>
      </w:r>
      <w:proofErr w:type="gramEnd"/>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В соответствии с </w:t>
      </w:r>
      <w:r>
        <w:rPr>
          <w:rFonts w:ascii="Arial" w:hAnsi="Arial" w:cs="Arial"/>
          <w:color w:val="008000"/>
          <w:sz w:val="20"/>
          <w:szCs w:val="20"/>
          <w:u w:val="single"/>
          <w:lang w:eastAsia="ru-RU"/>
        </w:rPr>
        <w:t>Протоколом о техническом регулировании в рамках ЕАЭС</w:t>
      </w:r>
      <w:r>
        <w:rPr>
          <w:rFonts w:ascii="Arial" w:hAnsi="Arial" w:cs="Arial"/>
          <w:sz w:val="20"/>
          <w:szCs w:val="20"/>
          <w:lang w:eastAsia="ru-RU"/>
        </w:rPr>
        <w:t xml:space="preserve"> (приложение № 9 к Договору о ЕАЭС) знак ЕАС является обозначением, информирующим приобретателей и потребителей о соответствии выпускаемой в обращение продукции требованиям технических регламентов.</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Согласно </w:t>
      </w:r>
      <w:r>
        <w:rPr>
          <w:rFonts w:ascii="Arial" w:hAnsi="Arial" w:cs="Arial"/>
          <w:color w:val="008000"/>
          <w:sz w:val="20"/>
          <w:szCs w:val="20"/>
          <w:u w:val="single"/>
          <w:lang w:eastAsia="ru-RU"/>
        </w:rPr>
        <w:t>пунктам 2,</w:t>
      </w:r>
      <w:r>
        <w:rPr>
          <w:rFonts w:ascii="Arial" w:hAnsi="Arial" w:cs="Arial"/>
          <w:sz w:val="20"/>
          <w:szCs w:val="20"/>
          <w:lang w:eastAsia="ru-RU"/>
        </w:rPr>
        <w:t xml:space="preserve"> </w:t>
      </w:r>
      <w:r>
        <w:rPr>
          <w:rFonts w:ascii="Arial" w:hAnsi="Arial" w:cs="Arial"/>
          <w:color w:val="008000"/>
          <w:sz w:val="20"/>
          <w:szCs w:val="20"/>
          <w:u w:val="single"/>
          <w:lang w:eastAsia="ru-RU"/>
        </w:rPr>
        <w:t>4</w:t>
      </w:r>
      <w:r>
        <w:rPr>
          <w:rFonts w:ascii="Arial" w:hAnsi="Arial" w:cs="Arial"/>
          <w:sz w:val="20"/>
          <w:szCs w:val="20"/>
          <w:lang w:eastAsia="ru-RU"/>
        </w:rPr>
        <w:t xml:space="preserve"> Положения о едином знаке обращения продукции на рынке государств - членов </w:t>
      </w:r>
      <w:r w:rsidR="00D85B98">
        <w:rPr>
          <w:rFonts w:ascii="Arial" w:hAnsi="Arial" w:cs="Arial"/>
          <w:sz w:val="20"/>
          <w:szCs w:val="20"/>
          <w:lang w:eastAsia="ru-RU"/>
        </w:rPr>
        <w:t>ТС</w:t>
      </w:r>
      <w:r>
        <w:rPr>
          <w:rFonts w:ascii="Arial" w:hAnsi="Arial" w:cs="Arial"/>
          <w:sz w:val="20"/>
          <w:szCs w:val="20"/>
          <w:lang w:eastAsia="ru-RU"/>
        </w:rPr>
        <w:t xml:space="preserve">, утвержденного Решением Комиссии </w:t>
      </w:r>
      <w:r w:rsidR="00D85B98">
        <w:rPr>
          <w:rFonts w:ascii="Arial" w:hAnsi="Arial" w:cs="Arial"/>
          <w:sz w:val="20"/>
          <w:szCs w:val="20"/>
          <w:lang w:eastAsia="ru-RU"/>
        </w:rPr>
        <w:t>ТС</w:t>
      </w:r>
      <w:r>
        <w:rPr>
          <w:rFonts w:ascii="Arial" w:hAnsi="Arial" w:cs="Arial"/>
          <w:sz w:val="20"/>
          <w:szCs w:val="20"/>
          <w:lang w:eastAsia="ru-RU"/>
        </w:rPr>
        <w:t xml:space="preserve"> от 15.07.2011 № 711, наличие знака ЕАС свидетельствует о том, что продукция прошла все установленные в технических регламентах ЕАЭС процедуры оценки (подтверждения) соответствия и соответствует установленным требованиям. Его нанесение осуществляется перед выпуском продукции в обращение на рынок ЕАЭС.</w:t>
      </w:r>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sz w:val="20"/>
          <w:szCs w:val="20"/>
          <w:lang w:eastAsia="ru-RU"/>
        </w:rPr>
        <w:t>В соответствии с техническими регламентами ЕАЭС (</w:t>
      </w:r>
      <w:r w:rsidR="00D85B98">
        <w:rPr>
          <w:rFonts w:ascii="Arial" w:hAnsi="Arial" w:cs="Arial"/>
          <w:sz w:val="20"/>
          <w:szCs w:val="20"/>
          <w:lang w:eastAsia="ru-RU"/>
        </w:rPr>
        <w:t>ТС</w:t>
      </w:r>
      <w:r>
        <w:rPr>
          <w:rFonts w:ascii="Arial" w:hAnsi="Arial" w:cs="Arial"/>
          <w:sz w:val="20"/>
          <w:szCs w:val="20"/>
          <w:lang w:eastAsia="ru-RU"/>
        </w:rPr>
        <w:t xml:space="preserve">) (например, </w:t>
      </w:r>
      <w:r>
        <w:rPr>
          <w:rFonts w:ascii="Arial" w:hAnsi="Arial" w:cs="Arial"/>
          <w:color w:val="008000"/>
          <w:sz w:val="20"/>
          <w:szCs w:val="20"/>
          <w:u w:val="single"/>
          <w:lang w:eastAsia="ru-RU"/>
        </w:rPr>
        <w:t>пункт 100</w:t>
      </w:r>
      <w:r>
        <w:rPr>
          <w:rFonts w:ascii="Arial" w:hAnsi="Arial" w:cs="Arial"/>
          <w:sz w:val="20"/>
          <w:szCs w:val="20"/>
          <w:lang w:eastAsia="ru-RU"/>
        </w:rPr>
        <w:t xml:space="preserve"> Технического регламента Т</w:t>
      </w:r>
      <w:r w:rsidR="00D85B98">
        <w:rPr>
          <w:rFonts w:ascii="Arial" w:hAnsi="Arial" w:cs="Arial"/>
          <w:sz w:val="20"/>
          <w:szCs w:val="20"/>
          <w:lang w:eastAsia="ru-RU"/>
        </w:rPr>
        <w:t>С</w:t>
      </w:r>
      <w:r>
        <w:rPr>
          <w:rFonts w:ascii="Arial" w:hAnsi="Arial" w:cs="Arial"/>
          <w:sz w:val="20"/>
          <w:szCs w:val="20"/>
          <w:lang w:eastAsia="ru-RU"/>
        </w:rPr>
        <w:t xml:space="preserve"> "О безопасности колесных транспортных средств" (TP ТС 018/2011) продукция маркируется знаком ЕАС после оформления сертификатов соответствия или декларации о соответствии.</w:t>
      </w:r>
      <w:proofErr w:type="gramEnd"/>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Таким образом, нанесение знака ЕАС не связано с процедурой получения документов о соответствии, в связи с этим его отсутствие не влечет за собой признание таких документов, представленных при таможенном декларировании в целях подтверждения факта соблюдения установленных запретов и ограничений, недействительными.</w:t>
      </w:r>
    </w:p>
    <w:p w:rsidR="004611D3" w:rsidRDefault="004611D3" w:rsidP="00D85B98">
      <w:pPr>
        <w:autoSpaceDE w:val="0"/>
        <w:autoSpaceDN w:val="0"/>
        <w:adjustRightInd w:val="0"/>
        <w:ind w:left="0" w:firstLine="567"/>
        <w:jc w:val="left"/>
        <w:rPr>
          <w:rFonts w:ascii="Arial" w:hAnsi="Arial" w:cs="Arial"/>
          <w:sz w:val="24"/>
          <w:szCs w:val="24"/>
          <w:lang w:eastAsia="ru-RU"/>
        </w:rPr>
      </w:pPr>
      <w:r>
        <w:rPr>
          <w:rFonts w:ascii="Arial" w:hAnsi="Arial" w:cs="Arial"/>
          <w:sz w:val="20"/>
          <w:szCs w:val="20"/>
          <w:lang w:eastAsia="ru-RU"/>
        </w:rPr>
        <w:t xml:space="preserve">Обращаем внимание, что вопрос о наличии состава </w:t>
      </w:r>
      <w:proofErr w:type="gramStart"/>
      <w:r>
        <w:rPr>
          <w:rFonts w:ascii="Arial" w:hAnsi="Arial" w:cs="Arial"/>
          <w:sz w:val="20"/>
          <w:szCs w:val="20"/>
          <w:lang w:eastAsia="ru-RU"/>
        </w:rPr>
        <w:t>A</w:t>
      </w:r>
      <w:proofErr w:type="gramEnd"/>
      <w:r>
        <w:rPr>
          <w:rFonts w:ascii="Arial" w:hAnsi="Arial" w:cs="Arial"/>
          <w:sz w:val="20"/>
          <w:szCs w:val="20"/>
          <w:lang w:eastAsia="ru-RU"/>
        </w:rPr>
        <w:t>П и возбуждении дела об АП должен разрешаться в каждом конкретном случае отдельно с учетом требований права ЕАЭС (технических регламентов ЕАЭС (</w:t>
      </w:r>
      <w:r w:rsidR="00D85B98">
        <w:rPr>
          <w:rFonts w:ascii="Arial" w:hAnsi="Arial" w:cs="Arial"/>
          <w:sz w:val="20"/>
          <w:szCs w:val="20"/>
          <w:lang w:eastAsia="ru-RU"/>
        </w:rPr>
        <w:t>ТС</w:t>
      </w:r>
      <w:r>
        <w:rPr>
          <w:rFonts w:ascii="Arial" w:hAnsi="Arial" w:cs="Arial"/>
          <w:sz w:val="20"/>
          <w:szCs w:val="20"/>
          <w:lang w:eastAsia="ru-RU"/>
        </w:rPr>
        <w:t>), применяемых в отношении определенной категории товаров, а также обстоятельств, свидетельствующих о мерах, принятых лицом по проверке действительности документов об оценке соответствия, их относимости к конкретному товару, участия декларанта в процедуре их получения.</w:t>
      </w:r>
    </w:p>
    <w:p w:rsidR="004611D3" w:rsidRDefault="004611D3" w:rsidP="00D85B98">
      <w:pPr>
        <w:autoSpaceDE w:val="0"/>
        <w:autoSpaceDN w:val="0"/>
        <w:adjustRightInd w:val="0"/>
        <w:ind w:left="0" w:firstLine="567"/>
        <w:jc w:val="left"/>
        <w:rPr>
          <w:rFonts w:ascii="Arial" w:hAnsi="Arial" w:cs="Arial"/>
          <w:sz w:val="24"/>
          <w:szCs w:val="24"/>
          <w:lang w:eastAsia="ru-RU"/>
        </w:rPr>
      </w:pPr>
      <w:proofErr w:type="gramStart"/>
      <w:r>
        <w:rPr>
          <w:rFonts w:ascii="Arial" w:hAnsi="Arial" w:cs="Arial"/>
          <w:sz w:val="20"/>
          <w:szCs w:val="20"/>
          <w:lang w:eastAsia="ru-RU"/>
        </w:rPr>
        <w:t xml:space="preserve">При обнаружении нарушений требований технических регламентов, правил выполнения работ по сертификации, порядка маркировки продукции, подлежащей обязательному подтверждению соответствия, представления недостоверных результатов исследований (испытаний), недостоверного декларирования соответствия продукции, административная ответственность за которые установлена статьями </w:t>
      </w:r>
      <w:r>
        <w:rPr>
          <w:rFonts w:ascii="Arial" w:hAnsi="Arial" w:cs="Arial"/>
          <w:color w:val="008000"/>
          <w:sz w:val="20"/>
          <w:szCs w:val="20"/>
          <w:u w:val="single"/>
          <w:lang w:eastAsia="ru-RU"/>
        </w:rPr>
        <w:t>14.43,</w:t>
      </w:r>
      <w:r>
        <w:rPr>
          <w:rFonts w:ascii="Arial" w:hAnsi="Arial" w:cs="Arial"/>
          <w:sz w:val="20"/>
          <w:szCs w:val="20"/>
          <w:lang w:eastAsia="ru-RU"/>
        </w:rPr>
        <w:t xml:space="preserve"> </w:t>
      </w:r>
      <w:r>
        <w:rPr>
          <w:rFonts w:ascii="Arial" w:hAnsi="Arial" w:cs="Arial"/>
          <w:color w:val="008000"/>
          <w:sz w:val="20"/>
          <w:szCs w:val="20"/>
          <w:u w:val="single"/>
          <w:lang w:eastAsia="ru-RU"/>
        </w:rPr>
        <w:t>14.44,</w:t>
      </w:r>
      <w:r>
        <w:rPr>
          <w:rFonts w:ascii="Arial" w:hAnsi="Arial" w:cs="Arial"/>
          <w:sz w:val="20"/>
          <w:szCs w:val="20"/>
          <w:lang w:eastAsia="ru-RU"/>
        </w:rPr>
        <w:t xml:space="preserve"> </w:t>
      </w:r>
      <w:r>
        <w:rPr>
          <w:rFonts w:ascii="Arial" w:hAnsi="Arial" w:cs="Arial"/>
          <w:color w:val="008000"/>
          <w:sz w:val="20"/>
          <w:szCs w:val="20"/>
          <w:u w:val="single"/>
          <w:lang w:eastAsia="ru-RU"/>
        </w:rPr>
        <w:t>14.46,</w:t>
      </w:r>
      <w:r>
        <w:rPr>
          <w:rFonts w:ascii="Arial" w:hAnsi="Arial" w:cs="Arial"/>
          <w:sz w:val="20"/>
          <w:szCs w:val="20"/>
          <w:lang w:eastAsia="ru-RU"/>
        </w:rPr>
        <w:t xml:space="preserve"> </w:t>
      </w:r>
      <w:r>
        <w:rPr>
          <w:rFonts w:ascii="Arial" w:hAnsi="Arial" w:cs="Arial"/>
          <w:color w:val="008000"/>
          <w:sz w:val="20"/>
          <w:szCs w:val="20"/>
          <w:u w:val="single"/>
          <w:lang w:eastAsia="ru-RU"/>
        </w:rPr>
        <w:t>14.46.1,</w:t>
      </w:r>
      <w:r>
        <w:rPr>
          <w:rFonts w:ascii="Arial" w:hAnsi="Arial" w:cs="Arial"/>
          <w:sz w:val="20"/>
          <w:szCs w:val="20"/>
          <w:lang w:eastAsia="ru-RU"/>
        </w:rPr>
        <w:t xml:space="preserve"> </w:t>
      </w:r>
      <w:r>
        <w:rPr>
          <w:rFonts w:ascii="Arial" w:hAnsi="Arial" w:cs="Arial"/>
          <w:color w:val="008000"/>
          <w:sz w:val="20"/>
          <w:szCs w:val="20"/>
          <w:u w:val="single"/>
          <w:lang w:eastAsia="ru-RU"/>
        </w:rPr>
        <w:t>14.47, 14.48,</w:t>
      </w:r>
      <w:r>
        <w:rPr>
          <w:rFonts w:ascii="Arial" w:hAnsi="Arial" w:cs="Arial"/>
          <w:sz w:val="20"/>
          <w:szCs w:val="20"/>
          <w:lang w:eastAsia="ru-RU"/>
        </w:rPr>
        <w:t xml:space="preserve"> </w:t>
      </w:r>
      <w:r>
        <w:rPr>
          <w:rFonts w:ascii="Arial" w:hAnsi="Arial" w:cs="Arial"/>
          <w:color w:val="008000"/>
          <w:sz w:val="20"/>
          <w:szCs w:val="20"/>
          <w:u w:val="single"/>
          <w:lang w:eastAsia="ru-RU"/>
        </w:rPr>
        <w:t>15.12</w:t>
      </w:r>
      <w:r>
        <w:rPr>
          <w:rFonts w:ascii="Arial" w:hAnsi="Arial" w:cs="Arial"/>
          <w:sz w:val="20"/>
          <w:szCs w:val="20"/>
          <w:lang w:eastAsia="ru-RU"/>
        </w:rPr>
        <w:t xml:space="preserve"> КоАП РФ, и иных нарушений в области технического регулирования, не отнесенных к компетенции таможенных органов, документы и сведения, подтверждающие такие</w:t>
      </w:r>
      <w:proofErr w:type="gramEnd"/>
      <w:r>
        <w:rPr>
          <w:rFonts w:ascii="Arial" w:hAnsi="Arial" w:cs="Arial"/>
          <w:sz w:val="20"/>
          <w:szCs w:val="20"/>
          <w:lang w:eastAsia="ru-RU"/>
        </w:rPr>
        <w:t xml:space="preserve"> нарушения, необходимо направлять в соответствующие органы государственного контроля (надзора) за соблюдением требований технических регламентов для привлечения лиц к административной ответственности.</w:t>
      </w:r>
    </w:p>
    <w:p w:rsidR="00ED6897" w:rsidRDefault="00ED6897" w:rsidP="00D85B98">
      <w:pPr>
        <w:ind w:firstLine="567"/>
      </w:pPr>
    </w:p>
    <w:sectPr w:rsidR="00ED6897" w:rsidSect="00D85B98">
      <w:headerReference w:type="default" r:id="rId8"/>
      <w:footerReference w:type="default" r:id="rId9"/>
      <w:pgSz w:w="11906" w:h="16838" w:code="9"/>
      <w:pgMar w:top="397" w:right="397" w:bottom="397" w:left="45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216" w:rsidRDefault="00C91216">
      <w:r>
        <w:separator/>
      </w:r>
    </w:p>
  </w:endnote>
  <w:endnote w:type="continuationSeparator" w:id="0">
    <w:p w:rsidR="00C91216" w:rsidRDefault="00C91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0" w:rsidRDefault="00C91216" w:rsidP="00AE12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216" w:rsidRDefault="00C91216">
      <w:r>
        <w:separator/>
      </w:r>
    </w:p>
  </w:footnote>
  <w:footnote w:type="continuationSeparator" w:id="0">
    <w:p w:rsidR="00C91216" w:rsidRDefault="00C91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220" w:rsidRDefault="00C91216">
    <w:pPr>
      <w:autoSpaceDE w:val="0"/>
      <w:autoSpaceDN w:val="0"/>
      <w:adjustRightInd w:val="0"/>
      <w:ind w:left="0" w:firstLine="0"/>
      <w:jc w:val="left"/>
      <w:rPr>
        <w:rFonts w:ascii="Arial" w:hAnsi="Arial" w:cs="Arial"/>
        <w:sz w:val="16"/>
        <w:szCs w:val="16"/>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769A8"/>
    <w:multiLevelType w:val="multilevel"/>
    <w:tmpl w:val="002CF6D4"/>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D3"/>
    <w:rsid w:val="00010DA7"/>
    <w:rsid w:val="00011781"/>
    <w:rsid w:val="00017578"/>
    <w:rsid w:val="00025C29"/>
    <w:rsid w:val="0003323E"/>
    <w:rsid w:val="00036D40"/>
    <w:rsid w:val="00037C48"/>
    <w:rsid w:val="00050256"/>
    <w:rsid w:val="000502F4"/>
    <w:rsid w:val="00061BE7"/>
    <w:rsid w:val="0006382A"/>
    <w:rsid w:val="00063B67"/>
    <w:rsid w:val="0007230E"/>
    <w:rsid w:val="00077329"/>
    <w:rsid w:val="00082DB7"/>
    <w:rsid w:val="00083D45"/>
    <w:rsid w:val="00094502"/>
    <w:rsid w:val="000948DD"/>
    <w:rsid w:val="000A2AB1"/>
    <w:rsid w:val="000A3BC0"/>
    <w:rsid w:val="000A525A"/>
    <w:rsid w:val="000A6AD0"/>
    <w:rsid w:val="000B14EA"/>
    <w:rsid w:val="000B385A"/>
    <w:rsid w:val="000C3AA5"/>
    <w:rsid w:val="000C4A7C"/>
    <w:rsid w:val="000C7DE8"/>
    <w:rsid w:val="000E0649"/>
    <w:rsid w:val="000E6751"/>
    <w:rsid w:val="000E6848"/>
    <w:rsid w:val="000F2EF9"/>
    <w:rsid w:val="000F5253"/>
    <w:rsid w:val="000F581E"/>
    <w:rsid w:val="001023EE"/>
    <w:rsid w:val="00103C43"/>
    <w:rsid w:val="00104134"/>
    <w:rsid w:val="00105F77"/>
    <w:rsid w:val="00106CF8"/>
    <w:rsid w:val="00111B9E"/>
    <w:rsid w:val="00123262"/>
    <w:rsid w:val="00124F50"/>
    <w:rsid w:val="00134884"/>
    <w:rsid w:val="00135AF0"/>
    <w:rsid w:val="00136536"/>
    <w:rsid w:val="001374E1"/>
    <w:rsid w:val="0013780A"/>
    <w:rsid w:val="00141588"/>
    <w:rsid w:val="0014358A"/>
    <w:rsid w:val="001440BD"/>
    <w:rsid w:val="001452B2"/>
    <w:rsid w:val="00145A31"/>
    <w:rsid w:val="00150851"/>
    <w:rsid w:val="00150F96"/>
    <w:rsid w:val="00165A83"/>
    <w:rsid w:val="001752B0"/>
    <w:rsid w:val="00175D9E"/>
    <w:rsid w:val="00180BB2"/>
    <w:rsid w:val="001822D8"/>
    <w:rsid w:val="001827A2"/>
    <w:rsid w:val="00182F4B"/>
    <w:rsid w:val="00184A47"/>
    <w:rsid w:val="00184D5E"/>
    <w:rsid w:val="001856AA"/>
    <w:rsid w:val="00192ACB"/>
    <w:rsid w:val="001A0196"/>
    <w:rsid w:val="001A09A6"/>
    <w:rsid w:val="001A0F15"/>
    <w:rsid w:val="001A6E59"/>
    <w:rsid w:val="001B36E5"/>
    <w:rsid w:val="001B38DC"/>
    <w:rsid w:val="001B5B4D"/>
    <w:rsid w:val="001B70DA"/>
    <w:rsid w:val="001C141E"/>
    <w:rsid w:val="001C3D2B"/>
    <w:rsid w:val="001C5A19"/>
    <w:rsid w:val="001C7D96"/>
    <w:rsid w:val="001D25F0"/>
    <w:rsid w:val="001D2863"/>
    <w:rsid w:val="001D745D"/>
    <w:rsid w:val="001E459E"/>
    <w:rsid w:val="001E55F5"/>
    <w:rsid w:val="001F2A83"/>
    <w:rsid w:val="001F42B5"/>
    <w:rsid w:val="00213301"/>
    <w:rsid w:val="00222B22"/>
    <w:rsid w:val="00223D2D"/>
    <w:rsid w:val="00227F7B"/>
    <w:rsid w:val="00230A43"/>
    <w:rsid w:val="00231E70"/>
    <w:rsid w:val="002338E9"/>
    <w:rsid w:val="00233E3A"/>
    <w:rsid w:val="00236C81"/>
    <w:rsid w:val="00242A6F"/>
    <w:rsid w:val="00243431"/>
    <w:rsid w:val="00245510"/>
    <w:rsid w:val="002457C9"/>
    <w:rsid w:val="00246B9D"/>
    <w:rsid w:val="00247F8F"/>
    <w:rsid w:val="00251951"/>
    <w:rsid w:val="002528AA"/>
    <w:rsid w:val="0026441E"/>
    <w:rsid w:val="00270952"/>
    <w:rsid w:val="00275C74"/>
    <w:rsid w:val="0028098A"/>
    <w:rsid w:val="0028119A"/>
    <w:rsid w:val="00285F94"/>
    <w:rsid w:val="002924DD"/>
    <w:rsid w:val="002A03CA"/>
    <w:rsid w:val="002A27C9"/>
    <w:rsid w:val="002A4678"/>
    <w:rsid w:val="002A63EE"/>
    <w:rsid w:val="002A649F"/>
    <w:rsid w:val="002A7BCA"/>
    <w:rsid w:val="002A7CF6"/>
    <w:rsid w:val="002B3C38"/>
    <w:rsid w:val="002B611F"/>
    <w:rsid w:val="002C4428"/>
    <w:rsid w:val="002C570D"/>
    <w:rsid w:val="002C62C6"/>
    <w:rsid w:val="002D1D7E"/>
    <w:rsid w:val="002D2DB7"/>
    <w:rsid w:val="002D6E64"/>
    <w:rsid w:val="002E2E61"/>
    <w:rsid w:val="002F212F"/>
    <w:rsid w:val="002F3306"/>
    <w:rsid w:val="002F4C51"/>
    <w:rsid w:val="00300893"/>
    <w:rsid w:val="00302ADC"/>
    <w:rsid w:val="00313DB7"/>
    <w:rsid w:val="00316B29"/>
    <w:rsid w:val="00323DE3"/>
    <w:rsid w:val="003316D2"/>
    <w:rsid w:val="003372CD"/>
    <w:rsid w:val="00347A97"/>
    <w:rsid w:val="00351006"/>
    <w:rsid w:val="00366672"/>
    <w:rsid w:val="00372B0E"/>
    <w:rsid w:val="003874E5"/>
    <w:rsid w:val="003915B3"/>
    <w:rsid w:val="00393581"/>
    <w:rsid w:val="00396051"/>
    <w:rsid w:val="003A05B7"/>
    <w:rsid w:val="003C5539"/>
    <w:rsid w:val="003C5FF0"/>
    <w:rsid w:val="003D09F7"/>
    <w:rsid w:val="003F10C7"/>
    <w:rsid w:val="003F1D4A"/>
    <w:rsid w:val="003F611D"/>
    <w:rsid w:val="00400C8F"/>
    <w:rsid w:val="00401CA3"/>
    <w:rsid w:val="00402EC7"/>
    <w:rsid w:val="00405278"/>
    <w:rsid w:val="004070C7"/>
    <w:rsid w:val="00421BED"/>
    <w:rsid w:val="00435006"/>
    <w:rsid w:val="00440390"/>
    <w:rsid w:val="00452EBA"/>
    <w:rsid w:val="004538C6"/>
    <w:rsid w:val="004611D3"/>
    <w:rsid w:val="00477E67"/>
    <w:rsid w:val="0048260A"/>
    <w:rsid w:val="004829FD"/>
    <w:rsid w:val="00484D68"/>
    <w:rsid w:val="00485758"/>
    <w:rsid w:val="00486AD4"/>
    <w:rsid w:val="004909B3"/>
    <w:rsid w:val="00490FCE"/>
    <w:rsid w:val="004975F1"/>
    <w:rsid w:val="004A2283"/>
    <w:rsid w:val="004A284F"/>
    <w:rsid w:val="004A7C35"/>
    <w:rsid w:val="004C18E3"/>
    <w:rsid w:val="004C58BD"/>
    <w:rsid w:val="004D19A4"/>
    <w:rsid w:val="004E5102"/>
    <w:rsid w:val="004F0340"/>
    <w:rsid w:val="004F3B6F"/>
    <w:rsid w:val="004F6A70"/>
    <w:rsid w:val="00505779"/>
    <w:rsid w:val="00506BFE"/>
    <w:rsid w:val="005071F4"/>
    <w:rsid w:val="0051761C"/>
    <w:rsid w:val="00531BE9"/>
    <w:rsid w:val="00534D49"/>
    <w:rsid w:val="00536D5D"/>
    <w:rsid w:val="00544012"/>
    <w:rsid w:val="00546944"/>
    <w:rsid w:val="005511FD"/>
    <w:rsid w:val="00556CBC"/>
    <w:rsid w:val="00556E95"/>
    <w:rsid w:val="00557875"/>
    <w:rsid w:val="00562350"/>
    <w:rsid w:val="00566DEC"/>
    <w:rsid w:val="00566FBB"/>
    <w:rsid w:val="00571028"/>
    <w:rsid w:val="005711AC"/>
    <w:rsid w:val="005728A4"/>
    <w:rsid w:val="00577EB0"/>
    <w:rsid w:val="005813A3"/>
    <w:rsid w:val="00581A0B"/>
    <w:rsid w:val="00586CBE"/>
    <w:rsid w:val="005A221B"/>
    <w:rsid w:val="005B0C4A"/>
    <w:rsid w:val="005C4C1D"/>
    <w:rsid w:val="005C5551"/>
    <w:rsid w:val="005C5997"/>
    <w:rsid w:val="005D0D68"/>
    <w:rsid w:val="005E2ED5"/>
    <w:rsid w:val="005F0076"/>
    <w:rsid w:val="005F0E44"/>
    <w:rsid w:val="005F12F5"/>
    <w:rsid w:val="005F50D7"/>
    <w:rsid w:val="00601E2B"/>
    <w:rsid w:val="0060679B"/>
    <w:rsid w:val="006215FA"/>
    <w:rsid w:val="006224E3"/>
    <w:rsid w:val="0063095B"/>
    <w:rsid w:val="00635BEF"/>
    <w:rsid w:val="00642969"/>
    <w:rsid w:val="00643384"/>
    <w:rsid w:val="00647951"/>
    <w:rsid w:val="00647B73"/>
    <w:rsid w:val="00654618"/>
    <w:rsid w:val="006548DF"/>
    <w:rsid w:val="00663585"/>
    <w:rsid w:val="0067289C"/>
    <w:rsid w:val="006756F7"/>
    <w:rsid w:val="006813C2"/>
    <w:rsid w:val="0068619E"/>
    <w:rsid w:val="006A2001"/>
    <w:rsid w:val="006A2767"/>
    <w:rsid w:val="006A5328"/>
    <w:rsid w:val="006B0727"/>
    <w:rsid w:val="006B1765"/>
    <w:rsid w:val="006B279C"/>
    <w:rsid w:val="006B2D8B"/>
    <w:rsid w:val="006B7F02"/>
    <w:rsid w:val="006E005B"/>
    <w:rsid w:val="006E40F5"/>
    <w:rsid w:val="006F0C81"/>
    <w:rsid w:val="00701E37"/>
    <w:rsid w:val="007072F2"/>
    <w:rsid w:val="00710622"/>
    <w:rsid w:val="00712444"/>
    <w:rsid w:val="00721587"/>
    <w:rsid w:val="007236AB"/>
    <w:rsid w:val="00727C09"/>
    <w:rsid w:val="00733BAA"/>
    <w:rsid w:val="007416DE"/>
    <w:rsid w:val="00742E1A"/>
    <w:rsid w:val="00753218"/>
    <w:rsid w:val="00754FF1"/>
    <w:rsid w:val="00757FB2"/>
    <w:rsid w:val="00762430"/>
    <w:rsid w:val="007666C6"/>
    <w:rsid w:val="0077628D"/>
    <w:rsid w:val="00777294"/>
    <w:rsid w:val="007775D4"/>
    <w:rsid w:val="00784A77"/>
    <w:rsid w:val="00784B4A"/>
    <w:rsid w:val="0079318F"/>
    <w:rsid w:val="00794B0B"/>
    <w:rsid w:val="0079704E"/>
    <w:rsid w:val="007A25F9"/>
    <w:rsid w:val="007A40CF"/>
    <w:rsid w:val="007D4B56"/>
    <w:rsid w:val="007E390C"/>
    <w:rsid w:val="007F0B3C"/>
    <w:rsid w:val="00802140"/>
    <w:rsid w:val="00810C95"/>
    <w:rsid w:val="00810F6E"/>
    <w:rsid w:val="00811F7C"/>
    <w:rsid w:val="008145E6"/>
    <w:rsid w:val="008168D9"/>
    <w:rsid w:val="00825048"/>
    <w:rsid w:val="00832BEA"/>
    <w:rsid w:val="00833CEB"/>
    <w:rsid w:val="008403A4"/>
    <w:rsid w:val="00843591"/>
    <w:rsid w:val="0085280A"/>
    <w:rsid w:val="0085456C"/>
    <w:rsid w:val="00857DE9"/>
    <w:rsid w:val="00860DEE"/>
    <w:rsid w:val="00871360"/>
    <w:rsid w:val="00871FEE"/>
    <w:rsid w:val="00872882"/>
    <w:rsid w:val="00875C3A"/>
    <w:rsid w:val="00880518"/>
    <w:rsid w:val="008846E9"/>
    <w:rsid w:val="00884D4F"/>
    <w:rsid w:val="00894F2E"/>
    <w:rsid w:val="0089557E"/>
    <w:rsid w:val="00896093"/>
    <w:rsid w:val="008A0947"/>
    <w:rsid w:val="008A0955"/>
    <w:rsid w:val="008A21A0"/>
    <w:rsid w:val="008A252C"/>
    <w:rsid w:val="008A3F27"/>
    <w:rsid w:val="008B4852"/>
    <w:rsid w:val="008B79E1"/>
    <w:rsid w:val="008C40AC"/>
    <w:rsid w:val="008C5FBF"/>
    <w:rsid w:val="008E4239"/>
    <w:rsid w:val="008F0315"/>
    <w:rsid w:val="008F32AE"/>
    <w:rsid w:val="008F4A2C"/>
    <w:rsid w:val="008F5CD0"/>
    <w:rsid w:val="00902BD2"/>
    <w:rsid w:val="00906F10"/>
    <w:rsid w:val="0091046A"/>
    <w:rsid w:val="009130E9"/>
    <w:rsid w:val="00913509"/>
    <w:rsid w:val="00915C6B"/>
    <w:rsid w:val="00920854"/>
    <w:rsid w:val="0092128C"/>
    <w:rsid w:val="009226FA"/>
    <w:rsid w:val="009242CD"/>
    <w:rsid w:val="009438C8"/>
    <w:rsid w:val="009460DA"/>
    <w:rsid w:val="00954C54"/>
    <w:rsid w:val="00955C69"/>
    <w:rsid w:val="0095726D"/>
    <w:rsid w:val="00960B60"/>
    <w:rsid w:val="00964A0C"/>
    <w:rsid w:val="009700BE"/>
    <w:rsid w:val="00973D56"/>
    <w:rsid w:val="00974530"/>
    <w:rsid w:val="00976E30"/>
    <w:rsid w:val="00977F1A"/>
    <w:rsid w:val="00981E68"/>
    <w:rsid w:val="00982405"/>
    <w:rsid w:val="00984137"/>
    <w:rsid w:val="00985B7A"/>
    <w:rsid w:val="00991BF8"/>
    <w:rsid w:val="0099397E"/>
    <w:rsid w:val="00994C3B"/>
    <w:rsid w:val="00994D02"/>
    <w:rsid w:val="009A5173"/>
    <w:rsid w:val="009B21DF"/>
    <w:rsid w:val="009B3B9D"/>
    <w:rsid w:val="009B3D2B"/>
    <w:rsid w:val="009B4985"/>
    <w:rsid w:val="009C10ED"/>
    <w:rsid w:val="009C6B6A"/>
    <w:rsid w:val="009C6E3F"/>
    <w:rsid w:val="009D516B"/>
    <w:rsid w:val="009D71B9"/>
    <w:rsid w:val="009E3E3E"/>
    <w:rsid w:val="009E6463"/>
    <w:rsid w:val="009E7C34"/>
    <w:rsid w:val="009F58C7"/>
    <w:rsid w:val="009F7894"/>
    <w:rsid w:val="00A00485"/>
    <w:rsid w:val="00A1123D"/>
    <w:rsid w:val="00A1248D"/>
    <w:rsid w:val="00A233A2"/>
    <w:rsid w:val="00A24C29"/>
    <w:rsid w:val="00A30C26"/>
    <w:rsid w:val="00A3147A"/>
    <w:rsid w:val="00A31596"/>
    <w:rsid w:val="00A31653"/>
    <w:rsid w:val="00A33328"/>
    <w:rsid w:val="00A367E3"/>
    <w:rsid w:val="00A36895"/>
    <w:rsid w:val="00A37917"/>
    <w:rsid w:val="00A44299"/>
    <w:rsid w:val="00A46922"/>
    <w:rsid w:val="00A50454"/>
    <w:rsid w:val="00A50C8D"/>
    <w:rsid w:val="00A51190"/>
    <w:rsid w:val="00A519EA"/>
    <w:rsid w:val="00A53C4D"/>
    <w:rsid w:val="00A55768"/>
    <w:rsid w:val="00A70175"/>
    <w:rsid w:val="00A735A5"/>
    <w:rsid w:val="00A848A1"/>
    <w:rsid w:val="00A85767"/>
    <w:rsid w:val="00A93B4E"/>
    <w:rsid w:val="00A97200"/>
    <w:rsid w:val="00AA150D"/>
    <w:rsid w:val="00AA4A84"/>
    <w:rsid w:val="00AB32E1"/>
    <w:rsid w:val="00AC5DD0"/>
    <w:rsid w:val="00AC5FEF"/>
    <w:rsid w:val="00AC6DE9"/>
    <w:rsid w:val="00AD3289"/>
    <w:rsid w:val="00AD5033"/>
    <w:rsid w:val="00AD5EDC"/>
    <w:rsid w:val="00AD670A"/>
    <w:rsid w:val="00AE0407"/>
    <w:rsid w:val="00AF6316"/>
    <w:rsid w:val="00B0334C"/>
    <w:rsid w:val="00B0631C"/>
    <w:rsid w:val="00B075CA"/>
    <w:rsid w:val="00B10162"/>
    <w:rsid w:val="00B214DB"/>
    <w:rsid w:val="00B40B2A"/>
    <w:rsid w:val="00B4115F"/>
    <w:rsid w:val="00B45B6D"/>
    <w:rsid w:val="00B51E2B"/>
    <w:rsid w:val="00B56092"/>
    <w:rsid w:val="00B57866"/>
    <w:rsid w:val="00B61B19"/>
    <w:rsid w:val="00B65E14"/>
    <w:rsid w:val="00B85B72"/>
    <w:rsid w:val="00B85B89"/>
    <w:rsid w:val="00B85F0E"/>
    <w:rsid w:val="00B86A17"/>
    <w:rsid w:val="00B91F4A"/>
    <w:rsid w:val="00BA2069"/>
    <w:rsid w:val="00BA4987"/>
    <w:rsid w:val="00BA79F2"/>
    <w:rsid w:val="00BB3D8B"/>
    <w:rsid w:val="00BB4DC4"/>
    <w:rsid w:val="00BC0704"/>
    <w:rsid w:val="00BC15B2"/>
    <w:rsid w:val="00BC4CF1"/>
    <w:rsid w:val="00BC4DB0"/>
    <w:rsid w:val="00BD3A3F"/>
    <w:rsid w:val="00BD7DCC"/>
    <w:rsid w:val="00BE1BE0"/>
    <w:rsid w:val="00BF02F7"/>
    <w:rsid w:val="00BF1884"/>
    <w:rsid w:val="00BF3EC0"/>
    <w:rsid w:val="00BF646A"/>
    <w:rsid w:val="00C0343B"/>
    <w:rsid w:val="00C07231"/>
    <w:rsid w:val="00C13F2B"/>
    <w:rsid w:val="00C1756A"/>
    <w:rsid w:val="00C31A26"/>
    <w:rsid w:val="00C3401E"/>
    <w:rsid w:val="00C4130B"/>
    <w:rsid w:val="00C660E6"/>
    <w:rsid w:val="00C71762"/>
    <w:rsid w:val="00C91216"/>
    <w:rsid w:val="00C97324"/>
    <w:rsid w:val="00CA2FE9"/>
    <w:rsid w:val="00CA34F5"/>
    <w:rsid w:val="00CA5FCD"/>
    <w:rsid w:val="00CB2646"/>
    <w:rsid w:val="00CB6021"/>
    <w:rsid w:val="00CD1CC1"/>
    <w:rsid w:val="00CD6657"/>
    <w:rsid w:val="00CF17BA"/>
    <w:rsid w:val="00CF4963"/>
    <w:rsid w:val="00CF66B5"/>
    <w:rsid w:val="00CF7C3F"/>
    <w:rsid w:val="00D013BD"/>
    <w:rsid w:val="00D06617"/>
    <w:rsid w:val="00D0766F"/>
    <w:rsid w:val="00D114AE"/>
    <w:rsid w:val="00D150C8"/>
    <w:rsid w:val="00D25317"/>
    <w:rsid w:val="00D261C7"/>
    <w:rsid w:val="00D3420A"/>
    <w:rsid w:val="00D36741"/>
    <w:rsid w:val="00D419D9"/>
    <w:rsid w:val="00D52422"/>
    <w:rsid w:val="00D52F1C"/>
    <w:rsid w:val="00D67604"/>
    <w:rsid w:val="00D76130"/>
    <w:rsid w:val="00D854B8"/>
    <w:rsid w:val="00D85B98"/>
    <w:rsid w:val="00D87879"/>
    <w:rsid w:val="00D96140"/>
    <w:rsid w:val="00DA04F9"/>
    <w:rsid w:val="00DA1A75"/>
    <w:rsid w:val="00DB00AB"/>
    <w:rsid w:val="00DB1AD8"/>
    <w:rsid w:val="00DB3836"/>
    <w:rsid w:val="00DC2550"/>
    <w:rsid w:val="00DC413E"/>
    <w:rsid w:val="00DC73B9"/>
    <w:rsid w:val="00DD2BBE"/>
    <w:rsid w:val="00DF27CB"/>
    <w:rsid w:val="00DF4B8B"/>
    <w:rsid w:val="00DF523F"/>
    <w:rsid w:val="00E01ECA"/>
    <w:rsid w:val="00E22719"/>
    <w:rsid w:val="00E246EE"/>
    <w:rsid w:val="00E26733"/>
    <w:rsid w:val="00E3059B"/>
    <w:rsid w:val="00E3334C"/>
    <w:rsid w:val="00E51B7F"/>
    <w:rsid w:val="00E55EF1"/>
    <w:rsid w:val="00E5773E"/>
    <w:rsid w:val="00E60CC0"/>
    <w:rsid w:val="00E74404"/>
    <w:rsid w:val="00E805BE"/>
    <w:rsid w:val="00E807D2"/>
    <w:rsid w:val="00E809F7"/>
    <w:rsid w:val="00E83486"/>
    <w:rsid w:val="00E87495"/>
    <w:rsid w:val="00E90118"/>
    <w:rsid w:val="00E910EA"/>
    <w:rsid w:val="00EA14C5"/>
    <w:rsid w:val="00EA25C2"/>
    <w:rsid w:val="00EA56FD"/>
    <w:rsid w:val="00EB0239"/>
    <w:rsid w:val="00EB19FA"/>
    <w:rsid w:val="00EB2EF2"/>
    <w:rsid w:val="00EB52CA"/>
    <w:rsid w:val="00EB6BCD"/>
    <w:rsid w:val="00EC6B18"/>
    <w:rsid w:val="00EC6F5C"/>
    <w:rsid w:val="00EC7C14"/>
    <w:rsid w:val="00ED1149"/>
    <w:rsid w:val="00ED4EEF"/>
    <w:rsid w:val="00ED6897"/>
    <w:rsid w:val="00EE1EE1"/>
    <w:rsid w:val="00EE222F"/>
    <w:rsid w:val="00EE556E"/>
    <w:rsid w:val="00EE7F1C"/>
    <w:rsid w:val="00EF1394"/>
    <w:rsid w:val="00EF39B3"/>
    <w:rsid w:val="00F01787"/>
    <w:rsid w:val="00F20B98"/>
    <w:rsid w:val="00F24ED6"/>
    <w:rsid w:val="00F25B09"/>
    <w:rsid w:val="00F307D4"/>
    <w:rsid w:val="00F37C4C"/>
    <w:rsid w:val="00F43C5B"/>
    <w:rsid w:val="00F441E1"/>
    <w:rsid w:val="00F442DF"/>
    <w:rsid w:val="00F57A26"/>
    <w:rsid w:val="00F67CB0"/>
    <w:rsid w:val="00F9181F"/>
    <w:rsid w:val="00F94E09"/>
    <w:rsid w:val="00FA1F84"/>
    <w:rsid w:val="00FA292C"/>
    <w:rsid w:val="00FA3303"/>
    <w:rsid w:val="00FA6046"/>
    <w:rsid w:val="00FB0981"/>
    <w:rsid w:val="00FB139F"/>
    <w:rsid w:val="00FC03B8"/>
    <w:rsid w:val="00FC0829"/>
    <w:rsid w:val="00FC7A85"/>
    <w:rsid w:val="00FC7E48"/>
    <w:rsid w:val="00FD221A"/>
    <w:rsid w:val="00FD41CA"/>
    <w:rsid w:val="00FD5C58"/>
    <w:rsid w:val="00FE004D"/>
    <w:rsid w:val="00FE3D87"/>
    <w:rsid w:val="00FE516A"/>
    <w:rsid w:val="00FF56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C35"/>
    <w:pPr>
      <w:ind w:left="431" w:hanging="431"/>
      <w:jc w:val="both"/>
    </w:pPr>
    <w:rPr>
      <w:sz w:val="22"/>
      <w:szCs w:val="22"/>
      <w:lang w:eastAsia="en-US"/>
    </w:rPr>
  </w:style>
  <w:style w:type="paragraph" w:styleId="1">
    <w:name w:val="heading 1"/>
    <w:basedOn w:val="a"/>
    <w:next w:val="a"/>
    <w:link w:val="10"/>
    <w:uiPriority w:val="9"/>
    <w:qFormat/>
    <w:rsid w:val="004A7C35"/>
    <w:pPr>
      <w:keepNext/>
      <w:tabs>
        <w:tab w:val="num" w:pos="432"/>
      </w:tabs>
      <w:suppressAutoHyphens/>
      <w:ind w:left="432" w:hanging="432"/>
      <w:outlineLvl w:val="0"/>
    </w:pPr>
    <w:rPr>
      <w:rFonts w:ascii="Times New Roman" w:eastAsiaTheme="majorEastAsia" w:hAnsi="Times New Roman" w:cstheme="majorBidi"/>
      <w:b/>
      <w:sz w:val="26"/>
      <w:szCs w:val="20"/>
      <w:lang w:eastAsia="ar-SA"/>
    </w:rPr>
  </w:style>
  <w:style w:type="paragraph" w:styleId="2">
    <w:name w:val="heading 2"/>
    <w:basedOn w:val="a"/>
    <w:link w:val="20"/>
    <w:uiPriority w:val="9"/>
    <w:qFormat/>
    <w:rsid w:val="004A7C35"/>
    <w:pPr>
      <w:spacing w:before="100" w:beforeAutospacing="1" w:after="100" w:afterAutospacing="1"/>
      <w:outlineLvl w:val="1"/>
    </w:pPr>
    <w:rPr>
      <w:rFonts w:ascii="Tahoma" w:eastAsiaTheme="majorEastAsia" w:hAnsi="Tahoma" w:cs="Tahoma"/>
      <w:color w:val="000000"/>
      <w:sz w:val="30"/>
      <w:szCs w:val="30"/>
      <w:lang w:eastAsia="ru-RU"/>
    </w:rPr>
  </w:style>
  <w:style w:type="paragraph" w:styleId="3">
    <w:name w:val="heading 3"/>
    <w:basedOn w:val="a"/>
    <w:next w:val="a"/>
    <w:link w:val="30"/>
    <w:uiPriority w:val="9"/>
    <w:semiHidden/>
    <w:unhideWhenUsed/>
    <w:qFormat/>
    <w:rsid w:val="004F0340"/>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F0340"/>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4F0340"/>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4F0340"/>
    <w:pPr>
      <w:spacing w:before="240" w:after="60"/>
      <w:outlineLvl w:val="5"/>
    </w:pPr>
    <w:rPr>
      <w:rFonts w:asciiTheme="minorHAnsi" w:eastAsiaTheme="minorEastAsia" w:hAnsiTheme="minorHAnsi" w:cstheme="minorBidi"/>
      <w:b/>
      <w:bCs/>
    </w:rPr>
  </w:style>
  <w:style w:type="paragraph" w:styleId="7">
    <w:name w:val="heading 7"/>
    <w:basedOn w:val="a"/>
    <w:next w:val="a"/>
    <w:link w:val="70"/>
    <w:uiPriority w:val="9"/>
    <w:semiHidden/>
    <w:unhideWhenUsed/>
    <w:qFormat/>
    <w:rsid w:val="004F0340"/>
    <w:p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4F0340"/>
    <w:p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4F0340"/>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ез интервала Знак Знак Знак Знак Знак Знак Знак"/>
    <w:rsid w:val="006A2001"/>
    <w:rPr>
      <w:rFonts w:ascii="Times New Roman" w:hAnsi="Times New Roman"/>
      <w:color w:val="000000"/>
      <w:sz w:val="24"/>
      <w:szCs w:val="24"/>
    </w:rPr>
  </w:style>
  <w:style w:type="paragraph" w:customStyle="1" w:styleId="a4">
    <w:name w:val="Без интервала Знак Знак Знак Знак Знак Знак Знак Знак"/>
    <w:link w:val="a5"/>
    <w:rsid w:val="006A2001"/>
    <w:rPr>
      <w:rFonts w:ascii="Times New Roman" w:hAnsi="Times New Roman"/>
      <w:color w:val="000000"/>
      <w:sz w:val="24"/>
      <w:szCs w:val="24"/>
    </w:rPr>
  </w:style>
  <w:style w:type="character" w:customStyle="1" w:styleId="a5">
    <w:name w:val="Без интервала Знак Знак Знак Знак Знак Знак Знак Знак Знак"/>
    <w:link w:val="a4"/>
    <w:locked/>
    <w:rsid w:val="006A2001"/>
    <w:rPr>
      <w:rFonts w:ascii="Times New Roman" w:eastAsia="Times New Roman" w:hAnsi="Times New Roman" w:cs="Times New Roman"/>
      <w:color w:val="000000"/>
      <w:sz w:val="24"/>
      <w:szCs w:val="24"/>
      <w:lang w:eastAsia="ru-RU"/>
    </w:rPr>
  </w:style>
  <w:style w:type="character" w:customStyle="1" w:styleId="10">
    <w:name w:val="Заголовок 1 Знак"/>
    <w:link w:val="1"/>
    <w:uiPriority w:val="9"/>
    <w:rsid w:val="004A7C35"/>
    <w:rPr>
      <w:rFonts w:ascii="Times New Roman" w:eastAsiaTheme="majorEastAsia" w:hAnsi="Times New Roman" w:cstheme="majorBidi"/>
      <w:b/>
      <w:sz w:val="26"/>
      <w:lang w:eastAsia="ar-SA"/>
    </w:rPr>
  </w:style>
  <w:style w:type="character" w:customStyle="1" w:styleId="20">
    <w:name w:val="Заголовок 2 Знак"/>
    <w:link w:val="2"/>
    <w:uiPriority w:val="9"/>
    <w:rsid w:val="004A7C35"/>
    <w:rPr>
      <w:rFonts w:ascii="Tahoma" w:eastAsiaTheme="majorEastAsia" w:hAnsi="Tahoma" w:cs="Tahoma"/>
      <w:color w:val="000000"/>
      <w:sz w:val="30"/>
      <w:szCs w:val="30"/>
    </w:rPr>
  </w:style>
  <w:style w:type="character" w:customStyle="1" w:styleId="40">
    <w:name w:val="Заголовок 4 Знак"/>
    <w:link w:val="4"/>
    <w:uiPriority w:val="9"/>
    <w:semiHidden/>
    <w:rsid w:val="004F0340"/>
    <w:rPr>
      <w:rFonts w:asciiTheme="minorHAnsi" w:eastAsiaTheme="minorEastAsia" w:hAnsiTheme="minorHAnsi" w:cstheme="minorBidi"/>
      <w:b/>
      <w:bCs/>
      <w:sz w:val="28"/>
      <w:szCs w:val="28"/>
      <w:lang w:eastAsia="en-US"/>
    </w:rPr>
  </w:style>
  <w:style w:type="character" w:styleId="a6">
    <w:name w:val="Strong"/>
    <w:uiPriority w:val="22"/>
    <w:qFormat/>
    <w:rsid w:val="004F0340"/>
    <w:rPr>
      <w:b/>
      <w:bCs/>
    </w:rPr>
  </w:style>
  <w:style w:type="character" w:styleId="a7">
    <w:name w:val="Emphasis"/>
    <w:uiPriority w:val="20"/>
    <w:qFormat/>
    <w:rsid w:val="004F0340"/>
    <w:rPr>
      <w:i/>
      <w:iCs/>
    </w:rPr>
  </w:style>
  <w:style w:type="paragraph" w:styleId="a8">
    <w:name w:val="No Spacing"/>
    <w:uiPriority w:val="1"/>
    <w:qFormat/>
    <w:rsid w:val="004A7C35"/>
    <w:rPr>
      <w:sz w:val="22"/>
      <w:szCs w:val="22"/>
    </w:rPr>
  </w:style>
  <w:style w:type="paragraph" w:customStyle="1" w:styleId="11">
    <w:name w:val="Стиль1"/>
    <w:basedOn w:val="1"/>
    <w:link w:val="12"/>
    <w:rsid w:val="006A2001"/>
    <w:pPr>
      <w:ind w:left="644" w:hanging="360"/>
    </w:pPr>
    <w:rPr>
      <w:rFonts w:cs="Times New Roman"/>
    </w:rPr>
  </w:style>
  <w:style w:type="character" w:customStyle="1" w:styleId="12">
    <w:name w:val="Стиль1 Знак"/>
    <w:basedOn w:val="10"/>
    <w:link w:val="11"/>
    <w:rsid w:val="006A2001"/>
    <w:rPr>
      <w:rFonts w:ascii="Times New Roman" w:eastAsiaTheme="majorEastAsia" w:hAnsi="Times New Roman" w:cs="Times New Roman"/>
      <w:b/>
      <w:bCs w:val="0"/>
      <w:color w:val="21798E"/>
      <w:kern w:val="32"/>
      <w:sz w:val="24"/>
      <w:szCs w:val="24"/>
      <w:lang w:eastAsia="ru-RU"/>
    </w:rPr>
  </w:style>
  <w:style w:type="character" w:customStyle="1" w:styleId="30">
    <w:name w:val="Заголовок 3 Знак"/>
    <w:link w:val="3"/>
    <w:uiPriority w:val="9"/>
    <w:semiHidden/>
    <w:rsid w:val="004F0340"/>
    <w:rPr>
      <w:rFonts w:asciiTheme="majorHAnsi" w:eastAsiaTheme="majorEastAsia" w:hAnsiTheme="majorHAnsi" w:cstheme="majorBidi"/>
      <w:b/>
      <w:bCs/>
      <w:sz w:val="26"/>
      <w:szCs w:val="26"/>
      <w:lang w:eastAsia="en-US"/>
    </w:rPr>
  </w:style>
  <w:style w:type="character" w:customStyle="1" w:styleId="50">
    <w:name w:val="Заголовок 5 Знак"/>
    <w:link w:val="5"/>
    <w:uiPriority w:val="9"/>
    <w:semiHidden/>
    <w:rsid w:val="004F0340"/>
    <w:rPr>
      <w:rFonts w:asciiTheme="minorHAnsi" w:eastAsiaTheme="minorEastAsia" w:hAnsiTheme="minorHAnsi" w:cstheme="minorBidi"/>
      <w:b/>
      <w:bCs/>
      <w:i/>
      <w:iCs/>
      <w:sz w:val="26"/>
      <w:szCs w:val="26"/>
      <w:lang w:eastAsia="en-US"/>
    </w:rPr>
  </w:style>
  <w:style w:type="character" w:customStyle="1" w:styleId="60">
    <w:name w:val="Заголовок 6 Знак"/>
    <w:link w:val="6"/>
    <w:uiPriority w:val="9"/>
    <w:semiHidden/>
    <w:rsid w:val="004F0340"/>
    <w:rPr>
      <w:rFonts w:asciiTheme="minorHAnsi" w:eastAsiaTheme="minorEastAsia" w:hAnsiTheme="minorHAnsi" w:cstheme="minorBidi"/>
      <w:b/>
      <w:bCs/>
      <w:sz w:val="22"/>
      <w:szCs w:val="22"/>
      <w:lang w:eastAsia="en-US"/>
    </w:rPr>
  </w:style>
  <w:style w:type="character" w:customStyle="1" w:styleId="70">
    <w:name w:val="Заголовок 7 Знак"/>
    <w:link w:val="7"/>
    <w:uiPriority w:val="9"/>
    <w:semiHidden/>
    <w:rsid w:val="004F0340"/>
    <w:rPr>
      <w:rFonts w:asciiTheme="minorHAnsi" w:eastAsiaTheme="minorEastAsia" w:hAnsiTheme="minorHAnsi" w:cstheme="minorBidi"/>
      <w:sz w:val="24"/>
      <w:szCs w:val="24"/>
      <w:lang w:eastAsia="en-US"/>
    </w:rPr>
  </w:style>
  <w:style w:type="character" w:customStyle="1" w:styleId="80">
    <w:name w:val="Заголовок 8 Знак"/>
    <w:link w:val="8"/>
    <w:uiPriority w:val="9"/>
    <w:semiHidden/>
    <w:rsid w:val="004F0340"/>
    <w:rPr>
      <w:rFonts w:asciiTheme="minorHAnsi" w:eastAsiaTheme="minorEastAsia" w:hAnsiTheme="minorHAnsi" w:cstheme="minorBidi"/>
      <w:i/>
      <w:iCs/>
      <w:sz w:val="24"/>
      <w:szCs w:val="24"/>
      <w:lang w:eastAsia="en-US"/>
    </w:rPr>
  </w:style>
  <w:style w:type="character" w:customStyle="1" w:styleId="90">
    <w:name w:val="Заголовок 9 Знак"/>
    <w:link w:val="9"/>
    <w:uiPriority w:val="9"/>
    <w:semiHidden/>
    <w:rsid w:val="004F0340"/>
    <w:rPr>
      <w:rFonts w:asciiTheme="majorHAnsi" w:eastAsiaTheme="majorEastAsia" w:hAnsiTheme="majorHAnsi" w:cstheme="majorBidi"/>
      <w:sz w:val="22"/>
      <w:szCs w:val="22"/>
      <w:lang w:eastAsia="en-US"/>
    </w:rPr>
  </w:style>
  <w:style w:type="paragraph" w:styleId="a9">
    <w:name w:val="caption"/>
    <w:basedOn w:val="a"/>
    <w:next w:val="a"/>
    <w:uiPriority w:val="35"/>
    <w:semiHidden/>
    <w:unhideWhenUsed/>
    <w:qFormat/>
    <w:rsid w:val="004F0340"/>
    <w:rPr>
      <w:b/>
      <w:bCs/>
      <w:sz w:val="20"/>
      <w:szCs w:val="20"/>
    </w:rPr>
  </w:style>
  <w:style w:type="paragraph" w:styleId="aa">
    <w:name w:val="Title"/>
    <w:basedOn w:val="a"/>
    <w:next w:val="a"/>
    <w:link w:val="ab"/>
    <w:uiPriority w:val="10"/>
    <w:qFormat/>
    <w:rsid w:val="004F0340"/>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Название Знак"/>
    <w:link w:val="aa"/>
    <w:uiPriority w:val="10"/>
    <w:rsid w:val="004F0340"/>
    <w:rPr>
      <w:rFonts w:asciiTheme="majorHAnsi" w:eastAsiaTheme="majorEastAsia" w:hAnsiTheme="majorHAnsi" w:cstheme="majorBidi"/>
      <w:b/>
      <w:bCs/>
      <w:kern w:val="28"/>
      <w:sz w:val="32"/>
      <w:szCs w:val="32"/>
      <w:lang w:eastAsia="en-US"/>
    </w:rPr>
  </w:style>
  <w:style w:type="paragraph" w:styleId="ac">
    <w:name w:val="Subtitle"/>
    <w:basedOn w:val="a"/>
    <w:next w:val="a"/>
    <w:link w:val="ad"/>
    <w:uiPriority w:val="11"/>
    <w:qFormat/>
    <w:rsid w:val="004F0340"/>
    <w:pPr>
      <w:spacing w:after="60"/>
      <w:jc w:val="center"/>
      <w:outlineLvl w:val="1"/>
    </w:pPr>
    <w:rPr>
      <w:rFonts w:asciiTheme="majorHAnsi" w:eastAsiaTheme="majorEastAsia" w:hAnsiTheme="majorHAnsi" w:cstheme="majorBidi"/>
      <w:sz w:val="24"/>
      <w:szCs w:val="24"/>
    </w:rPr>
  </w:style>
  <w:style w:type="character" w:customStyle="1" w:styleId="ad">
    <w:name w:val="Подзаголовок Знак"/>
    <w:link w:val="ac"/>
    <w:uiPriority w:val="11"/>
    <w:rsid w:val="004F0340"/>
    <w:rPr>
      <w:rFonts w:asciiTheme="majorHAnsi" w:eastAsiaTheme="majorEastAsia" w:hAnsiTheme="majorHAnsi" w:cstheme="majorBidi"/>
      <w:sz w:val="24"/>
      <w:szCs w:val="24"/>
      <w:lang w:eastAsia="en-US"/>
    </w:rPr>
  </w:style>
  <w:style w:type="paragraph" w:styleId="ae">
    <w:name w:val="List Paragraph"/>
    <w:basedOn w:val="a"/>
    <w:uiPriority w:val="34"/>
    <w:qFormat/>
    <w:rsid w:val="004A7C35"/>
    <w:pPr>
      <w:ind w:left="708" w:firstLine="0"/>
      <w:jc w:val="left"/>
    </w:pPr>
    <w:rPr>
      <w:lang w:eastAsia="ru-RU"/>
    </w:rPr>
  </w:style>
  <w:style w:type="paragraph" w:styleId="21">
    <w:name w:val="Quote"/>
    <w:basedOn w:val="a"/>
    <w:next w:val="a"/>
    <w:link w:val="22"/>
    <w:uiPriority w:val="29"/>
    <w:qFormat/>
    <w:rsid w:val="004F0340"/>
    <w:rPr>
      <w:i/>
      <w:iCs/>
      <w:color w:val="000000" w:themeColor="text1"/>
    </w:rPr>
  </w:style>
  <w:style w:type="character" w:customStyle="1" w:styleId="22">
    <w:name w:val="Цитата 2 Знак"/>
    <w:link w:val="21"/>
    <w:uiPriority w:val="29"/>
    <w:rsid w:val="004F0340"/>
    <w:rPr>
      <w:i/>
      <w:iCs/>
      <w:color w:val="000000" w:themeColor="text1"/>
      <w:sz w:val="22"/>
      <w:szCs w:val="22"/>
      <w:lang w:eastAsia="en-US"/>
    </w:rPr>
  </w:style>
  <w:style w:type="paragraph" w:styleId="af">
    <w:name w:val="Intense Quote"/>
    <w:basedOn w:val="a"/>
    <w:next w:val="a"/>
    <w:link w:val="af0"/>
    <w:uiPriority w:val="30"/>
    <w:qFormat/>
    <w:rsid w:val="004F0340"/>
    <w:pPr>
      <w:pBdr>
        <w:bottom w:val="single" w:sz="4" w:space="4" w:color="4F81BD" w:themeColor="accent1"/>
      </w:pBdr>
      <w:spacing w:before="200" w:after="280"/>
      <w:ind w:left="936" w:right="936"/>
    </w:pPr>
    <w:rPr>
      <w:b/>
      <w:bCs/>
      <w:i/>
      <w:iCs/>
      <w:color w:val="4F81BD" w:themeColor="accent1"/>
    </w:rPr>
  </w:style>
  <w:style w:type="character" w:customStyle="1" w:styleId="af0">
    <w:name w:val="Выделенная цитата Знак"/>
    <w:link w:val="af"/>
    <w:uiPriority w:val="30"/>
    <w:rsid w:val="004F0340"/>
    <w:rPr>
      <w:b/>
      <w:bCs/>
      <w:i/>
      <w:iCs/>
      <w:color w:val="4F81BD" w:themeColor="accent1"/>
      <w:sz w:val="22"/>
      <w:szCs w:val="22"/>
      <w:lang w:eastAsia="en-US"/>
    </w:rPr>
  </w:style>
  <w:style w:type="character" w:styleId="af1">
    <w:name w:val="Subtle Emphasis"/>
    <w:uiPriority w:val="19"/>
    <w:qFormat/>
    <w:rsid w:val="00EC6F5C"/>
    <w:rPr>
      <w:i/>
      <w:iCs/>
      <w:color w:val="808080" w:themeColor="text1" w:themeTint="7F"/>
    </w:rPr>
  </w:style>
  <w:style w:type="character" w:styleId="af2">
    <w:name w:val="Intense Emphasis"/>
    <w:uiPriority w:val="21"/>
    <w:qFormat/>
    <w:rsid w:val="004F0340"/>
    <w:rPr>
      <w:b/>
      <w:bCs/>
      <w:i/>
      <w:iCs/>
      <w:color w:val="4F81BD" w:themeColor="accent1"/>
    </w:rPr>
  </w:style>
  <w:style w:type="character" w:styleId="af3">
    <w:name w:val="Subtle Reference"/>
    <w:uiPriority w:val="31"/>
    <w:qFormat/>
    <w:rsid w:val="004F0340"/>
    <w:rPr>
      <w:smallCaps/>
      <w:color w:val="C0504D" w:themeColor="accent2"/>
      <w:u w:val="single"/>
    </w:rPr>
  </w:style>
  <w:style w:type="character" w:styleId="af4">
    <w:name w:val="Intense Reference"/>
    <w:uiPriority w:val="32"/>
    <w:qFormat/>
    <w:rsid w:val="004F0340"/>
    <w:rPr>
      <w:b/>
      <w:bCs/>
      <w:smallCaps/>
      <w:color w:val="C0504D" w:themeColor="accent2"/>
      <w:spacing w:val="5"/>
      <w:u w:val="single"/>
    </w:rPr>
  </w:style>
  <w:style w:type="character" w:styleId="af5">
    <w:name w:val="Book Title"/>
    <w:uiPriority w:val="33"/>
    <w:qFormat/>
    <w:rsid w:val="004F0340"/>
    <w:rPr>
      <w:b/>
      <w:bCs/>
      <w:smallCaps/>
      <w:spacing w:val="5"/>
    </w:rPr>
  </w:style>
  <w:style w:type="paragraph" w:styleId="af6">
    <w:name w:val="TOC Heading"/>
    <w:basedOn w:val="1"/>
    <w:next w:val="a"/>
    <w:uiPriority w:val="39"/>
    <w:semiHidden/>
    <w:unhideWhenUsed/>
    <w:qFormat/>
    <w:rsid w:val="004F0340"/>
    <w:pPr>
      <w:tabs>
        <w:tab w:val="clear" w:pos="432"/>
      </w:tabs>
      <w:suppressAutoHyphens w:val="0"/>
      <w:spacing w:before="240" w:after="60"/>
      <w:ind w:left="431" w:hanging="431"/>
      <w:outlineLvl w:val="9"/>
    </w:pPr>
    <w:rPr>
      <w:rFonts w:asciiTheme="majorHAnsi" w:hAnsiTheme="majorHAnsi"/>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1809</Words>
  <Characters>10316</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cp:lastPrinted>2018-08-17T15:37:00Z</cp:lastPrinted>
  <dcterms:created xsi:type="dcterms:W3CDTF">2018-08-17T15:17:00Z</dcterms:created>
  <dcterms:modified xsi:type="dcterms:W3CDTF">2018-08-17T15:38:00Z</dcterms:modified>
</cp:coreProperties>
</file>