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Постановление Правительства Российской Федерации № 1016 от 28 августа 2018 года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№ 872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0"/>
          <w:szCs w:val="20"/>
          <w:lang w:eastAsia="ru-RU"/>
        </w:rPr>
        <w:t>(Опубликовано на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официальном интернет-портале правовой информации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 30.08.2018. Вступает в силу с 01.10.2018, см.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 3 настоящего постановления)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частью 2 статьи 7 Федерального закона</w:t>
      </w:r>
      <w:r>
        <w:rPr>
          <w:rFonts w:ascii="Arial" w:hAnsi="Arial" w:cs="Arial"/>
          <w:sz w:val="20"/>
          <w:szCs w:val="20"/>
          <w:lang w:eastAsia="ru-RU"/>
        </w:rPr>
        <w:t xml:space="preserve">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 Правительство Российской Федерации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Постановляет: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Утвердить прилагаемые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Правила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2. Дополнить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 1 Правил</w:t>
      </w:r>
      <w:r>
        <w:rPr>
          <w:rFonts w:ascii="Arial" w:hAnsi="Arial" w:cs="Arial"/>
          <w:sz w:val="20"/>
          <w:szCs w:val="20"/>
          <w:lang w:eastAsia="ru-RU"/>
        </w:rPr>
        <w:t xml:space="preserve"> осуществления контроля при пропуске лиц, транспортных средств, грузов, товаров и животных через государственную границу Российской Федерации, утвержденных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постановлением Правительства Российской Федерации от 20 ноября 2008 г. № 872</w:t>
      </w:r>
      <w:r>
        <w:rPr>
          <w:rFonts w:ascii="Arial" w:hAnsi="Arial" w:cs="Arial"/>
          <w:sz w:val="20"/>
          <w:szCs w:val="20"/>
          <w:lang w:eastAsia="ru-RU"/>
        </w:rPr>
        <w:t xml:space="preserve"> "Об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Федерации" (Собрание законодательства Российской Федерации, 2008, № 48, ст. 5620; 2012, № 5, ст. 608), абзацем следующего содержания: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"Контроль лиц, транспортных средств, грузов, товаров и животных при пропуске через государственную границу в пунктах пропуска через государственную границу, расположенных на территориях свободных портов Республики Крым и г. Севастополя, осуществляется в соответствии с настоящими Правилами с учетом особенностей, определенных Правилами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Севастополя, утвержденными постановлением Правительства Российской Федерации от 28 августа 2018 г. № 1016 "Об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№ 872".".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 Настоящее постановление вступает в силу с 1 октября 2018 г.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232"/>
        <w:gridCol w:w="1801"/>
      </w:tblGrid>
      <w:tr w:rsidR="005641B9"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5641B9" w:rsidRDefault="005641B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Правительства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5641B9" w:rsidRDefault="005641B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Д.Медведев</w:t>
            </w:r>
          </w:p>
        </w:tc>
      </w:tr>
    </w:tbl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Утверждены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постановлением Правительства Российской Федерации от 28 августа 2018 г. № 1016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Правила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 Настоящие Правила устанавливают отдельный порядок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Пограничный, таможенный и иные виды контроля при пропуске пассажиров, животных, грузов, товаров и транспортных средств в пунктах пропуска через государственную границу Российской Федерации, расположенных на территориях свободных портов Республики Крым и г. Севастополя (далее - пункты пропуска), осуществляются органами, уполномоченными на осуществление государственного контроля (надзора) в соответствующей сфере (далее - государственные контрольные органы), с учетом особенностей, установленных настоящими Правилами.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 Время работы государственных контрольных органов в пунктах пропуска должно устанавливаться с учетом обеспечения возможности круглосуточного и бесперебойного пропуска лиц, животных, грузов, товаров и транспортных средств через государственную границу Российской Федерации.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3. В пунктах пропуска при осуществлении таможенного и иных видов контроля реализуется механизм "единого окна" путем однократного представления при прибытии (убытии) грузов, товаров и транспортных средств в таможенный орган перевозчиком (в том числе таможенным перевозчиком, осуществляющим ввоз товаров с территории государства, не являющегося членом Евразийского экономического союза, на территории свободных портов Республики Крым и г. Севастополя), лицом, действующим от его имени, и (или) иным заинтересованным лицом документов и (или) сведений, необходимых для осуществления таможенного, транспортного, санитарно-карантинного, ветеринарного, карантинного фитосанитарного контроля (надзора).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4. Документы, необходимые для осуществления таможенного, транспортного, санитарно-карантинного, ветеринарного, карантинного фитосанитарного контроля (надзора), за исключением документов, удостоверяющих личность, представляются в таможенный орган в электронном виде и заверяются усиленной квалифицированной электронной подписью.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 Предварительная информация о товарах, предполагаемых к ввозу на территории свободных портов Республики Крым и г. Севастополя, представляется в таможенный орган 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Порядком представления предварительной информации о товарах, предполагаемых к ввозу на таможенную территорию Евразийского экономического союза водным транспортом,</w:t>
      </w:r>
      <w:r>
        <w:rPr>
          <w:rFonts w:ascii="Arial" w:hAnsi="Arial" w:cs="Arial"/>
          <w:sz w:val="20"/>
          <w:szCs w:val="20"/>
          <w:lang w:eastAsia="ru-RU"/>
        </w:rPr>
        <w:t xml:space="preserve"> утвержденным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Коллегии Евразийской экономической комиссии от 10 апреля 2018 г. № 51</w:t>
      </w:r>
      <w:r>
        <w:rPr>
          <w:rFonts w:ascii="Arial" w:hAnsi="Arial" w:cs="Arial"/>
          <w:sz w:val="20"/>
          <w:szCs w:val="20"/>
          <w:lang w:eastAsia="ru-RU"/>
        </w:rPr>
        <w:t xml:space="preserve"> "Об утверждении Порядка представления предварительной информации о товарах, предполагаемых к ввозу на таможенную территорию Евразийского экономического союза водным транспортом".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6. Таможенные органы обеспечивают направление предварительной информации о товарах, подлежащих санитарно-карантинному, ветеринарному, карантинному фитосанитарному контролю (надзору) (далее - предварительная информация), в течение 30 минут после ее получения в федеральные органы исполнительной власти, уполномоченные на осуществление указанных видов контроля (надзора), с использованием единой системы межведомственного электронного взаимодействия (далее - система электронного взаимодействия) для анализа и принятия решения в рамках системы управления рисками.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7. Федеральные органы исполнительной власти, уполномоченные на осуществление санитарно-карантинного, ветеринарного, карантинного фитосанитарного контроля (надзора), в течение одного часа после получения предварительной информации направляют в таможенные органы с использованием системы электронного взаимодействия результаты анализа предварительной информации в рамках системы управления рисками.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8. По результатам рассмотрения документов и сведений о поступивших товарах, подлежащих санитарно-карантинному, ветеринарному, карантинному фитосанитарному контролю (надзору), с учетом полученных результатов, указанных в пункте 7 настоящих Правил, таможенным органом принимается предварительное решение в соответствии с правом Евразийского экономического союза и законодательством Российской Федерации в соответствующей сфере.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9. Ветеринарный контроль осуществляется при предоставлении оригиналов ветеринарных сертификатов или документа, подтверждающего качество и безопасность подконтрольных товаров, выдаваемого предприятием-изготовителем, предусмотренных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Комиссии Таможенного союза от 18 июня 2010 г. № 317</w:t>
      </w:r>
      <w:r>
        <w:rPr>
          <w:rFonts w:ascii="Arial" w:hAnsi="Arial" w:cs="Arial"/>
          <w:sz w:val="20"/>
          <w:szCs w:val="20"/>
          <w:lang w:eastAsia="ru-RU"/>
        </w:rPr>
        <w:t xml:space="preserve"> "О применении ветеринарно-санитарных мер в Евразийском экономическом союзе".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10. Таможенный орган информирует перевозчика, лицо, действующее от его имени, и (или) иное заинтересованное лицо о принятом предварительном решении в отношении перемещаемых им через государственную границу Российской Федерации животных, грузов, товаров и транспортных средств с использованием информационной системы, обеспечивающей применение механизма "единого окна", путем направления такому лицу сообщения в срок, не превышающий 2 часов с момента поступления в таможенный орган предварительной информации.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11. Досмотр товаров, подлежащих таможенному, санитарно-карантинному, ветеринарному, карантинному фитосанитарному контролю (надзору), проводится в пунктах пропуска однократно.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12. Партия товара, в отношении которой предварительная информация не представлена в таможенный орган в объеме и сроки, которые определены настоящими Правилами, относится к области риска.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Федеральные органы исполнительной власти, уполномоченные на осуществление таможенного, санитарно-карантинного, ветеринарного, карантинного фитосанитарного контроля (надзора) принимают меры по минимизации такого риска в соответствии с правом Евразийского экономического союза и законодательством Российской Федерации.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13. Если предварительная информация не может быть получена таможенным органом по техническим причинам в электронном виде и (или) с использованием информационной системы, обеспечивающей применение механизма "единого окна", таможенный, санитарно-карантинный, ветеринарный, карантинный фитосанитарный контроль (надзор) в отношении товаров осуществляется в порядке, установленном правом Евразийского экономического союза и законодательством Российской Федерации.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14. Обмен данными (документами и (или) сведениями, в том числе предварительной информацией) между государственными контрольными органами и перевозчиком, лицом, действующим от его имени, и (или) иным заинтересованным лицом в пунктах пропуска производится с использованием системы электронного взаимодействия.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15. При осуществлении таможенного, санитарно-карантинного, ветеринарного, карантинного фитосанитарного контроля (надзора) применяется система контроля, основанная на анализе информации и выявлении рисков нарушения законодательства Российской Федерации, в том числе с учетом имеющейся предварительной информации.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16. До введения системы управления фитосанитарными рисками федеральные органы исполнительной власти, уполномоченные на осуществление карантинного фитосанитарного контроля (надзора), после получения предварительной информации направляют в таможенные органы с использованием системы электронного взаимодействия решение 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Положением о порядке осуществления карантинного фитосанитарного контроля (надзора) на таможенной границе Евразийского экономического союза,</w:t>
      </w:r>
      <w:r>
        <w:rPr>
          <w:rFonts w:ascii="Arial" w:hAnsi="Arial" w:cs="Arial"/>
          <w:sz w:val="20"/>
          <w:szCs w:val="20"/>
          <w:lang w:eastAsia="ru-RU"/>
        </w:rPr>
        <w:t xml:space="preserve"> утвержденным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Комиссии Таможенного союза от 18 июня 2010 г. № 318</w:t>
      </w:r>
      <w:r>
        <w:rPr>
          <w:rFonts w:ascii="Arial" w:hAnsi="Arial" w:cs="Arial"/>
          <w:sz w:val="20"/>
          <w:szCs w:val="20"/>
          <w:lang w:eastAsia="ru-RU"/>
        </w:rPr>
        <w:t xml:space="preserve"> "Об обеспечении карантина растений в Евразийском экономическом союзе".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17. Карантинный фитосанитарный контроль осуществляется при предоставлении оригиналов фитосанитарных сертификатов (реэкспортных фитосанитарных сертификатов).</w:t>
      </w:r>
    </w:p>
    <w:p w:rsidR="005641B9" w:rsidRDefault="005641B9" w:rsidP="005641B9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D6897" w:rsidRDefault="00ED6897"/>
    <w:sectPr w:rsidR="00ED6897" w:rsidSect="004C07B2">
      <w:headerReference w:type="default" r:id="rId6"/>
      <w:footerReference w:type="default" r:id="rId7"/>
      <w:pgSz w:w="11906" w:h="16838"/>
      <w:pgMar w:top="1134" w:right="850" w:bottom="1134" w:left="1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2" w:rsidRDefault="005641B9" w:rsidP="004C07B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2" w:rsidRDefault="005641B9">
    <w:pPr>
      <w:autoSpaceDE w:val="0"/>
      <w:autoSpaceDN w:val="0"/>
      <w:adjustRightInd w:val="0"/>
      <w:ind w:left="0" w:firstLine="0"/>
      <w:jc w:val="left"/>
      <w:rPr>
        <w:rFonts w:ascii="Arial" w:hAnsi="Arial" w:cs="Arial"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B9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7A97"/>
    <w:rsid w:val="00351006"/>
    <w:rsid w:val="00366672"/>
    <w:rsid w:val="00372B0E"/>
    <w:rsid w:val="003874E5"/>
    <w:rsid w:val="003915B3"/>
    <w:rsid w:val="00393581"/>
    <w:rsid w:val="00396051"/>
    <w:rsid w:val="003A05B7"/>
    <w:rsid w:val="003C5539"/>
    <w:rsid w:val="003C5FF0"/>
    <w:rsid w:val="003D09F7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41B9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40F5"/>
    <w:rsid w:val="006F0C81"/>
    <w:rsid w:val="00701E37"/>
    <w:rsid w:val="007072F2"/>
    <w:rsid w:val="00710622"/>
    <w:rsid w:val="00712444"/>
    <w:rsid w:val="00721587"/>
    <w:rsid w:val="007236AB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4F2E"/>
    <w:rsid w:val="0089557E"/>
    <w:rsid w:val="00896093"/>
    <w:rsid w:val="008A0947"/>
    <w:rsid w:val="008A0955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4299"/>
    <w:rsid w:val="00A46922"/>
    <w:rsid w:val="00A50454"/>
    <w:rsid w:val="00A50C8D"/>
    <w:rsid w:val="00A51190"/>
    <w:rsid w:val="00A519EA"/>
    <w:rsid w:val="00A53C4D"/>
    <w:rsid w:val="00A55768"/>
    <w:rsid w:val="00A70175"/>
    <w:rsid w:val="00A735A5"/>
    <w:rsid w:val="00A848A1"/>
    <w:rsid w:val="00A85767"/>
    <w:rsid w:val="00A93B4E"/>
    <w:rsid w:val="00A97200"/>
    <w:rsid w:val="00AA150D"/>
    <w:rsid w:val="00AA4A84"/>
    <w:rsid w:val="00AB32E1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4404"/>
    <w:rsid w:val="00E805BE"/>
    <w:rsid w:val="00E807D2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2018-09-20T13:56:00Z</dcterms:created>
  <dcterms:modified xsi:type="dcterms:W3CDTF">2018-09-20T13:57:00Z</dcterms:modified>
</cp:coreProperties>
</file>